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9241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4FAB9C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AB0A023">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13.030.01</w:t>
            </w:r>
            <w:r>
              <w:rPr>
                <w:rFonts w:ascii="黑体" w:hAnsi="黑体" w:eastAsia="黑体"/>
                <w:sz w:val="21"/>
                <w:szCs w:val="21"/>
              </w:rPr>
              <w:fldChar w:fldCharType="end"/>
            </w:r>
            <w:bookmarkEnd w:id="0"/>
          </w:p>
        </w:tc>
      </w:tr>
      <w:tr w14:paraId="485CB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1260C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70D8A6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L30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577ACD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E01CF43">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42</w:t>
            </w:r>
            <w:r>
              <w:fldChar w:fldCharType="end"/>
            </w:r>
            <w:bookmarkEnd w:id="3"/>
          </w:p>
        </w:tc>
      </w:tr>
    </w:tbl>
    <w:p w14:paraId="2FC6B2A8">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DA7B63C">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2D32495">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AD6876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D0D54D0">
      <w:pPr>
        <w:pStyle w:val="50"/>
        <w:framePr w:w="9639" w:h="6976" w:hRule="exact" w:hSpace="0" w:vSpace="0" w:wrap="around" w:hAnchor="page" w:y="6408"/>
        <w:jc w:val="center"/>
        <w:rPr>
          <w:rFonts w:ascii="黑体" w:hAnsi="黑体" w:eastAsia="黑体"/>
          <w:b w:val="0"/>
          <w:bCs w:val="0"/>
          <w:w w:val="100"/>
        </w:rPr>
      </w:pPr>
    </w:p>
    <w:p w14:paraId="1F1560C2">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危险废物利用处置污染控制技术规范</w:t>
      </w:r>
    </w:p>
    <w:p w14:paraId="16E4328C">
      <w:pPr>
        <w:pStyle w:val="197"/>
        <w:framePr w:h="6974" w:hRule="exact" w:wrap="around" w:x="1419" w:anchorLock="1"/>
      </w:pPr>
      <w:r>
        <w:rPr>
          <w:rFonts w:hint="eastAsia"/>
        </w:rPr>
        <w:t>第2部分:</w:t>
      </w:r>
      <w:r>
        <w:t>废电路板</w:t>
      </w:r>
      <w:r>
        <w:fldChar w:fldCharType="end"/>
      </w:r>
      <w:bookmarkEnd w:id="9"/>
    </w:p>
    <w:p w14:paraId="14C4D824">
      <w:pPr>
        <w:framePr w:w="9639" w:h="6974" w:hRule="exact" w:wrap="around" w:vAnchor="page" w:hAnchor="page" w:x="1419" w:y="6408" w:anchorLock="1"/>
        <w:ind w:left="-1418"/>
      </w:pPr>
    </w:p>
    <w:p w14:paraId="069F1832">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specifications for Pollution Control of Hazardous Waste Utilization and Disposal</w:t>
      </w:r>
    </w:p>
    <w:p w14:paraId="4307EA98">
      <w:pPr>
        <w:pStyle w:val="125"/>
        <w:framePr w:w="9639" w:h="6974" w:hRule="exact" w:wrap="around" w:vAnchor="page" w:hAnchor="page" w:x="1419" w:y="6408" w:anchorLock="1"/>
        <w:textAlignment w:val="bottom"/>
        <w:rPr>
          <w:rFonts w:eastAsia="黑体"/>
          <w:szCs w:val="28"/>
        </w:rPr>
      </w:pPr>
      <w:r>
        <w:rPr>
          <w:rFonts w:eastAsia="黑体"/>
          <w:szCs w:val="28"/>
        </w:rPr>
        <w:t>Part 2  waste printed circuit boards</w:t>
      </w:r>
      <w:r>
        <w:rPr>
          <w:rFonts w:eastAsia="黑体"/>
          <w:szCs w:val="28"/>
        </w:rPr>
        <w:fldChar w:fldCharType="end"/>
      </w:r>
      <w:bookmarkEnd w:id="10"/>
    </w:p>
    <w:p w14:paraId="51568748">
      <w:pPr>
        <w:framePr w:w="9639" w:h="6974" w:hRule="exact" w:wrap="around" w:vAnchor="page" w:hAnchor="page" w:x="1419" w:y="6408" w:anchorLock="1"/>
        <w:spacing w:line="760" w:lineRule="exact"/>
        <w:ind w:left="-1418"/>
      </w:pPr>
    </w:p>
    <w:p w14:paraId="4CC19C1F">
      <w:pPr>
        <w:pStyle w:val="125"/>
        <w:framePr w:w="9639" w:h="6974" w:hRule="exact" w:wrap="around" w:vAnchor="page" w:hAnchor="page" w:x="1419" w:y="6408" w:anchorLock="1"/>
        <w:textAlignment w:val="bottom"/>
        <w:rPr>
          <w:rFonts w:eastAsia="黑体"/>
          <w:szCs w:val="28"/>
        </w:rPr>
      </w:pPr>
    </w:p>
    <w:p w14:paraId="0CADE74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615CA0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084AFC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2DA0ECB">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CA7825C">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F7A2D5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11BD363">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AA98791">
      <w:pPr>
        <w:pStyle w:val="91"/>
        <w:spacing w:after="468"/>
      </w:pPr>
      <w:bookmarkStart w:id="21" w:name="BookMark1"/>
      <w:r>
        <w:rPr>
          <w:rFonts w:hint="eastAsia"/>
          <w:spacing w:val="320"/>
        </w:rPr>
        <w:t>目</w:t>
      </w:r>
      <w:r>
        <w:rPr>
          <w:rFonts w:hint="eastAsia"/>
        </w:rPr>
        <w:t>次</w:t>
      </w:r>
    </w:p>
    <w:p w14:paraId="2BBE9230">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"_Toc162950308" </w:instrText>
      </w:r>
      <w:r>
        <w:fldChar w:fldCharType="separate"/>
      </w:r>
      <w:r>
        <w:rPr>
          <w:rStyle w:val="32"/>
        </w:rPr>
        <w:t>前言</w:t>
      </w:r>
      <w:r>
        <w:tab/>
      </w:r>
      <w:r>
        <w:fldChar w:fldCharType="begin"/>
      </w:r>
      <w:r>
        <w:instrText xml:space="preserve"> PAGEREF _Toc162950308 \h </w:instrText>
      </w:r>
      <w:r>
        <w:fldChar w:fldCharType="separate"/>
      </w:r>
      <w:r>
        <w:t>II</w:t>
      </w:r>
      <w:r>
        <w:fldChar w:fldCharType="end"/>
      </w:r>
      <w:r>
        <w:fldChar w:fldCharType="end"/>
      </w:r>
    </w:p>
    <w:p w14:paraId="7B7D423B">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"_Toc162950309" </w:instrText>
      </w:r>
      <w:r>
        <w:fldChar w:fldCharType="separate"/>
      </w:r>
      <w:r>
        <w:rPr>
          <w:rStyle w:val="32"/>
        </w:rPr>
        <w:t>1  范围</w:t>
      </w:r>
      <w:r>
        <w:tab/>
      </w:r>
      <w:r>
        <w:fldChar w:fldCharType="begin"/>
      </w:r>
      <w:r>
        <w:instrText xml:space="preserve"> PAGEREF _Toc162950309 \h </w:instrText>
      </w:r>
      <w:r>
        <w:fldChar w:fldCharType="separate"/>
      </w:r>
      <w:r>
        <w:t>3</w:t>
      </w:r>
      <w:r>
        <w:fldChar w:fldCharType="end"/>
      </w:r>
      <w:r>
        <w:fldChar w:fldCharType="end"/>
      </w:r>
    </w:p>
    <w:p w14:paraId="3666CB90">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"_Toc162950310" </w:instrText>
      </w:r>
      <w:r>
        <w:fldChar w:fldCharType="separate"/>
      </w:r>
      <w:r>
        <w:rPr>
          <w:rStyle w:val="32"/>
        </w:rPr>
        <w:t>2  规范性引用文件</w:t>
      </w:r>
      <w:r>
        <w:tab/>
      </w:r>
      <w:r>
        <w:fldChar w:fldCharType="begin"/>
      </w:r>
      <w:r>
        <w:instrText xml:space="preserve"> PAGEREF _Toc162950310 \h </w:instrText>
      </w:r>
      <w:r>
        <w:fldChar w:fldCharType="separate"/>
      </w:r>
      <w:r>
        <w:t>3</w:t>
      </w:r>
      <w:r>
        <w:fldChar w:fldCharType="end"/>
      </w:r>
      <w:r>
        <w:fldChar w:fldCharType="end"/>
      </w:r>
    </w:p>
    <w:p w14:paraId="7674FF68">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"_Toc162950311" </w:instrText>
      </w:r>
      <w:r>
        <w:fldChar w:fldCharType="separate"/>
      </w:r>
      <w:r>
        <w:rPr>
          <w:rStyle w:val="32"/>
        </w:rPr>
        <w:t>3  术语和定义</w:t>
      </w:r>
      <w:r>
        <w:tab/>
      </w:r>
      <w:r>
        <w:fldChar w:fldCharType="begin"/>
      </w:r>
      <w:r>
        <w:instrText xml:space="preserve"> PAGEREF _Toc162950311 \h </w:instrText>
      </w:r>
      <w:r>
        <w:fldChar w:fldCharType="separate"/>
      </w:r>
      <w:r>
        <w:t>4</w:t>
      </w:r>
      <w:r>
        <w:fldChar w:fldCharType="end"/>
      </w:r>
      <w:r>
        <w:fldChar w:fldCharType="end"/>
      </w:r>
    </w:p>
    <w:p w14:paraId="1CC112C5">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"_Toc162950312" </w:instrText>
      </w:r>
      <w:r>
        <w:fldChar w:fldCharType="separate"/>
      </w:r>
      <w:r>
        <w:rPr>
          <w:rStyle w:val="32"/>
        </w:rPr>
        <w:t>4  总体要求</w:t>
      </w:r>
      <w:r>
        <w:tab/>
      </w:r>
      <w:r>
        <w:fldChar w:fldCharType="begin"/>
      </w:r>
      <w:r>
        <w:instrText xml:space="preserve"> PAGEREF _Toc162950312 \h </w:instrText>
      </w:r>
      <w:r>
        <w:fldChar w:fldCharType="separate"/>
      </w:r>
      <w:r>
        <w:t>5</w:t>
      </w:r>
      <w:r>
        <w:fldChar w:fldCharType="end"/>
      </w:r>
      <w:r>
        <w:fldChar w:fldCharType="end"/>
      </w:r>
    </w:p>
    <w:p w14:paraId="575BA6CD">
      <w:pPr>
        <w:pStyle w:val="24"/>
        <w:rPr>
          <w:rFonts w:asciiTheme="minorHAnsi" w:hAnsiTheme="minorHAnsi" w:eastAsiaTheme="minorEastAsia" w:cstheme="minorBidi"/>
          <w:szCs w:val="22"/>
        </w:rPr>
      </w:pPr>
      <w:r>
        <w:fldChar w:fldCharType="begin"/>
      </w:r>
      <w:r>
        <w:instrText xml:space="preserve"> HYPERLINK \l "_Toc162950313" </w:instrText>
      </w:r>
      <w:r>
        <w:fldChar w:fldCharType="separate"/>
      </w:r>
      <w:r>
        <w:rPr>
          <w:rStyle w:val="32"/>
          <w14:scene3d w14:prst="orthographicFront">
            <w14:lightRig w14:rig="threePt" w14:dir="t">
              <w14:rot w14:lat="0" w14:lon="0" w14:rev="0"/>
            </w14:lightRig>
          </w14:scene3d>
        </w:rPr>
        <w:t xml:space="preserve">4.1 </w:t>
      </w:r>
      <w:r>
        <w:rPr>
          <w:rStyle w:val="32"/>
        </w:rPr>
        <w:t xml:space="preserve"> 一般要求</w:t>
      </w:r>
      <w:r>
        <w:tab/>
      </w:r>
      <w:r>
        <w:fldChar w:fldCharType="begin"/>
      </w:r>
      <w:r>
        <w:instrText xml:space="preserve"> PAGEREF _Toc162950313 \h </w:instrText>
      </w:r>
      <w:r>
        <w:fldChar w:fldCharType="separate"/>
      </w:r>
      <w:r>
        <w:t>5</w:t>
      </w:r>
      <w:r>
        <w:fldChar w:fldCharType="end"/>
      </w:r>
      <w:r>
        <w:fldChar w:fldCharType="end"/>
      </w:r>
    </w:p>
    <w:p w14:paraId="3A36FC81">
      <w:pPr>
        <w:pStyle w:val="24"/>
        <w:rPr>
          <w:rFonts w:asciiTheme="minorHAnsi" w:hAnsiTheme="minorHAnsi" w:eastAsiaTheme="minorEastAsia" w:cstheme="minorBidi"/>
          <w:szCs w:val="22"/>
        </w:rPr>
      </w:pPr>
      <w:r>
        <w:fldChar w:fldCharType="begin"/>
      </w:r>
      <w:r>
        <w:instrText xml:space="preserve"> HYPERLINK \l "_Toc162950314" </w:instrText>
      </w:r>
      <w:r>
        <w:fldChar w:fldCharType="separate"/>
      </w:r>
      <w:r>
        <w:rPr>
          <w:rStyle w:val="32"/>
          <w14:scene3d w14:prst="orthographicFront">
            <w14:lightRig w14:rig="threePt" w14:dir="t">
              <w14:rot w14:lat="0" w14:lon="0" w14:rev="0"/>
            </w14:lightRig>
          </w14:scene3d>
        </w:rPr>
        <w:t xml:space="preserve">4.2 </w:t>
      </w:r>
      <w:r>
        <w:rPr>
          <w:rStyle w:val="32"/>
        </w:rPr>
        <w:t xml:space="preserve"> 选址要求</w:t>
      </w:r>
      <w:r>
        <w:tab/>
      </w:r>
      <w:r>
        <w:fldChar w:fldCharType="begin"/>
      </w:r>
      <w:r>
        <w:instrText xml:space="preserve"> PAGEREF _Toc162950314 \h </w:instrText>
      </w:r>
      <w:r>
        <w:fldChar w:fldCharType="separate"/>
      </w:r>
      <w:r>
        <w:t>5</w:t>
      </w:r>
      <w:r>
        <w:fldChar w:fldCharType="end"/>
      </w:r>
      <w:r>
        <w:fldChar w:fldCharType="end"/>
      </w:r>
    </w:p>
    <w:p w14:paraId="15814BFA">
      <w:pPr>
        <w:pStyle w:val="24"/>
        <w:rPr>
          <w:rFonts w:asciiTheme="minorHAnsi" w:hAnsiTheme="minorHAnsi" w:eastAsiaTheme="minorEastAsia" w:cstheme="minorBidi"/>
          <w:szCs w:val="22"/>
        </w:rPr>
      </w:pPr>
      <w:r>
        <w:fldChar w:fldCharType="begin"/>
      </w:r>
      <w:r>
        <w:instrText xml:space="preserve"> HYPERLINK \l "_Toc162950315" </w:instrText>
      </w:r>
      <w:r>
        <w:fldChar w:fldCharType="separate"/>
      </w:r>
      <w:r>
        <w:rPr>
          <w:rStyle w:val="32"/>
          <w14:scene3d w14:prst="orthographicFront">
            <w14:lightRig w14:rig="threePt" w14:dir="t">
              <w14:rot w14:lat="0" w14:lon="0" w14:rev="0"/>
            </w14:lightRig>
          </w14:scene3d>
        </w:rPr>
        <w:t xml:space="preserve">4.3 </w:t>
      </w:r>
      <w:r>
        <w:rPr>
          <w:rStyle w:val="32"/>
        </w:rPr>
        <w:t xml:space="preserve"> 工艺技术和设备设施要求</w:t>
      </w:r>
      <w:r>
        <w:tab/>
      </w:r>
      <w:r>
        <w:fldChar w:fldCharType="begin"/>
      </w:r>
      <w:r>
        <w:instrText xml:space="preserve"> PAGEREF _Toc162950315 \h </w:instrText>
      </w:r>
      <w:r>
        <w:fldChar w:fldCharType="separate"/>
      </w:r>
      <w:r>
        <w:t>5</w:t>
      </w:r>
      <w:r>
        <w:fldChar w:fldCharType="end"/>
      </w:r>
      <w:r>
        <w:fldChar w:fldCharType="end"/>
      </w:r>
    </w:p>
    <w:p w14:paraId="7D0510DB">
      <w:pPr>
        <w:pStyle w:val="24"/>
        <w:rPr>
          <w:rFonts w:asciiTheme="minorHAnsi" w:hAnsiTheme="minorHAnsi" w:eastAsiaTheme="minorEastAsia" w:cstheme="minorBidi"/>
          <w:szCs w:val="22"/>
        </w:rPr>
      </w:pPr>
      <w:r>
        <w:fldChar w:fldCharType="begin"/>
      </w:r>
      <w:r>
        <w:instrText xml:space="preserve"> HYPERLINK \l "_Toc162950316" </w:instrText>
      </w:r>
      <w:r>
        <w:fldChar w:fldCharType="separate"/>
      </w:r>
      <w:r>
        <w:rPr>
          <w:rStyle w:val="32"/>
          <w14:scene3d w14:prst="orthographicFront">
            <w14:lightRig w14:rig="threePt" w14:dir="t">
              <w14:rot w14:lat="0" w14:lon="0" w14:rev="0"/>
            </w14:lightRig>
          </w14:scene3d>
        </w:rPr>
        <w:t xml:space="preserve">4.4 </w:t>
      </w:r>
      <w:r>
        <w:rPr>
          <w:rStyle w:val="32"/>
        </w:rPr>
        <w:t xml:space="preserve"> 污染防治要求</w:t>
      </w:r>
      <w:r>
        <w:tab/>
      </w:r>
      <w:r>
        <w:fldChar w:fldCharType="begin"/>
      </w:r>
      <w:r>
        <w:instrText xml:space="preserve"> PAGEREF _Toc162950316 \h </w:instrText>
      </w:r>
      <w:r>
        <w:fldChar w:fldCharType="separate"/>
      </w:r>
      <w:r>
        <w:t>5</w:t>
      </w:r>
      <w:r>
        <w:fldChar w:fldCharType="end"/>
      </w:r>
      <w:r>
        <w:fldChar w:fldCharType="end"/>
      </w:r>
    </w:p>
    <w:p w14:paraId="33047CD7">
      <w:pPr>
        <w:pStyle w:val="24"/>
        <w:rPr>
          <w:rFonts w:asciiTheme="minorHAnsi" w:hAnsiTheme="minorHAnsi" w:eastAsiaTheme="minorEastAsia" w:cstheme="minorBidi"/>
          <w:szCs w:val="22"/>
        </w:rPr>
      </w:pPr>
      <w:r>
        <w:fldChar w:fldCharType="begin"/>
      </w:r>
      <w:r>
        <w:instrText xml:space="preserve"> HYPERLINK \l "_Toc162950317" </w:instrText>
      </w:r>
      <w:r>
        <w:fldChar w:fldCharType="separate"/>
      </w:r>
      <w:r>
        <w:rPr>
          <w:rStyle w:val="32"/>
          <w14:scene3d w14:prst="orthographicFront">
            <w14:lightRig w14:rig="threePt" w14:dir="t">
              <w14:rot w14:lat="0" w14:lon="0" w14:rev="0"/>
            </w14:lightRig>
          </w14:scene3d>
        </w:rPr>
        <w:t xml:space="preserve">4.5 </w:t>
      </w:r>
      <w:r>
        <w:rPr>
          <w:rStyle w:val="32"/>
        </w:rPr>
        <w:t xml:space="preserve"> 技术人员要求</w:t>
      </w:r>
      <w:r>
        <w:tab/>
      </w:r>
      <w:r>
        <w:fldChar w:fldCharType="begin"/>
      </w:r>
      <w:r>
        <w:instrText xml:space="preserve"> PAGEREF _Toc162950317 \h </w:instrText>
      </w:r>
      <w:r>
        <w:fldChar w:fldCharType="separate"/>
      </w:r>
      <w:r>
        <w:t>6</w:t>
      </w:r>
      <w:r>
        <w:fldChar w:fldCharType="end"/>
      </w:r>
      <w:r>
        <w:fldChar w:fldCharType="end"/>
      </w:r>
    </w:p>
    <w:p w14:paraId="54C1D823">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"_Toc162950318" </w:instrText>
      </w:r>
      <w:r>
        <w:fldChar w:fldCharType="separate"/>
      </w:r>
      <w:r>
        <w:rPr>
          <w:rStyle w:val="32"/>
        </w:rPr>
        <w:t>5  废电路板收集、运输、贮存技术要求</w:t>
      </w:r>
      <w:r>
        <w:tab/>
      </w:r>
      <w:r>
        <w:fldChar w:fldCharType="begin"/>
      </w:r>
      <w:r>
        <w:instrText xml:space="preserve"> PAGEREF _Toc162950318 \h </w:instrText>
      </w:r>
      <w:r>
        <w:fldChar w:fldCharType="separate"/>
      </w:r>
      <w:r>
        <w:t>6</w:t>
      </w:r>
      <w:r>
        <w:fldChar w:fldCharType="end"/>
      </w:r>
      <w:r>
        <w:fldChar w:fldCharType="end"/>
      </w:r>
    </w:p>
    <w:p w14:paraId="5FD02A04">
      <w:pPr>
        <w:pStyle w:val="24"/>
        <w:rPr>
          <w:rFonts w:asciiTheme="minorHAnsi" w:hAnsiTheme="minorHAnsi" w:eastAsiaTheme="minorEastAsia" w:cstheme="minorBidi"/>
          <w:szCs w:val="22"/>
        </w:rPr>
      </w:pPr>
      <w:r>
        <w:fldChar w:fldCharType="begin"/>
      </w:r>
      <w:r>
        <w:instrText xml:space="preserve"> HYPERLINK \l "_Toc162950319" </w:instrText>
      </w:r>
      <w:r>
        <w:fldChar w:fldCharType="separate"/>
      </w:r>
      <w:r>
        <w:rPr>
          <w:rStyle w:val="32"/>
          <w14:scene3d w14:prst="orthographicFront">
            <w14:lightRig w14:rig="threePt" w14:dir="t">
              <w14:rot w14:lat="0" w14:lon="0" w14:rev="0"/>
            </w14:lightRig>
          </w14:scene3d>
        </w:rPr>
        <w:t xml:space="preserve">5.1 </w:t>
      </w:r>
      <w:r>
        <w:rPr>
          <w:rStyle w:val="32"/>
        </w:rPr>
        <w:t xml:space="preserve"> 收集</w:t>
      </w:r>
      <w:r>
        <w:tab/>
      </w:r>
      <w:r>
        <w:fldChar w:fldCharType="begin"/>
      </w:r>
      <w:r>
        <w:instrText xml:space="preserve"> PAGEREF _Toc162950319 \h </w:instrText>
      </w:r>
      <w:r>
        <w:fldChar w:fldCharType="separate"/>
      </w:r>
      <w:r>
        <w:t>6</w:t>
      </w:r>
      <w:r>
        <w:fldChar w:fldCharType="end"/>
      </w:r>
      <w:r>
        <w:fldChar w:fldCharType="end"/>
      </w:r>
    </w:p>
    <w:p w14:paraId="4ACD35AB">
      <w:pPr>
        <w:pStyle w:val="24"/>
        <w:rPr>
          <w:rFonts w:asciiTheme="minorHAnsi" w:hAnsiTheme="minorHAnsi" w:eastAsiaTheme="minorEastAsia" w:cstheme="minorBidi"/>
          <w:szCs w:val="22"/>
        </w:rPr>
      </w:pPr>
      <w:r>
        <w:fldChar w:fldCharType="begin"/>
      </w:r>
      <w:r>
        <w:instrText xml:space="preserve"> HYPERLINK \l "_Toc162950320" </w:instrText>
      </w:r>
      <w:r>
        <w:fldChar w:fldCharType="separate"/>
      </w:r>
      <w:r>
        <w:rPr>
          <w:rStyle w:val="32"/>
          <w14:scene3d w14:prst="orthographicFront">
            <w14:lightRig w14:rig="threePt" w14:dir="t">
              <w14:rot w14:lat="0" w14:lon="0" w14:rev="0"/>
            </w14:lightRig>
          </w14:scene3d>
        </w:rPr>
        <w:t xml:space="preserve">5.2 </w:t>
      </w:r>
      <w:r>
        <w:rPr>
          <w:rStyle w:val="32"/>
        </w:rPr>
        <w:t xml:space="preserve"> 运输</w:t>
      </w:r>
      <w:r>
        <w:tab/>
      </w:r>
      <w:r>
        <w:fldChar w:fldCharType="begin"/>
      </w:r>
      <w:r>
        <w:instrText xml:space="preserve"> PAGEREF _Toc162950320 \h </w:instrText>
      </w:r>
      <w:r>
        <w:fldChar w:fldCharType="separate"/>
      </w:r>
      <w:r>
        <w:t>6</w:t>
      </w:r>
      <w:r>
        <w:fldChar w:fldCharType="end"/>
      </w:r>
      <w:r>
        <w:fldChar w:fldCharType="end"/>
      </w:r>
    </w:p>
    <w:p w14:paraId="1BFDC991">
      <w:pPr>
        <w:pStyle w:val="24"/>
        <w:rPr>
          <w:rFonts w:asciiTheme="minorHAnsi" w:hAnsiTheme="minorHAnsi" w:eastAsiaTheme="minorEastAsia" w:cstheme="minorBidi"/>
          <w:szCs w:val="22"/>
        </w:rPr>
      </w:pPr>
      <w:r>
        <w:fldChar w:fldCharType="begin"/>
      </w:r>
      <w:r>
        <w:instrText xml:space="preserve"> HYPERLINK \l "_Toc162950321" </w:instrText>
      </w:r>
      <w:r>
        <w:fldChar w:fldCharType="separate"/>
      </w:r>
      <w:r>
        <w:rPr>
          <w:rStyle w:val="32"/>
          <w14:scene3d w14:prst="orthographicFront">
            <w14:lightRig w14:rig="threePt" w14:dir="t">
              <w14:rot w14:lat="0" w14:lon="0" w14:rev="0"/>
            </w14:lightRig>
          </w14:scene3d>
        </w:rPr>
        <w:t xml:space="preserve">5.3 </w:t>
      </w:r>
      <w:r>
        <w:rPr>
          <w:rStyle w:val="32"/>
        </w:rPr>
        <w:t xml:space="preserve"> 贮存</w:t>
      </w:r>
      <w:r>
        <w:tab/>
      </w:r>
      <w:r>
        <w:fldChar w:fldCharType="begin"/>
      </w:r>
      <w:r>
        <w:instrText xml:space="preserve"> PAGEREF _Toc162950321 \h </w:instrText>
      </w:r>
      <w:r>
        <w:fldChar w:fldCharType="separate"/>
      </w:r>
      <w:r>
        <w:t>6</w:t>
      </w:r>
      <w:r>
        <w:fldChar w:fldCharType="end"/>
      </w:r>
      <w:r>
        <w:fldChar w:fldCharType="end"/>
      </w:r>
    </w:p>
    <w:p w14:paraId="2D2F26A0">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"_Toc162950322" </w:instrText>
      </w:r>
      <w:r>
        <w:fldChar w:fldCharType="separate"/>
      </w:r>
      <w:r>
        <w:rPr>
          <w:rStyle w:val="32"/>
        </w:rPr>
        <w:t>6  废电路板综合利用污染控制技术要求</w:t>
      </w:r>
      <w:r>
        <w:tab/>
      </w:r>
      <w:r>
        <w:fldChar w:fldCharType="begin"/>
      </w:r>
      <w:r>
        <w:instrText xml:space="preserve"> PAGEREF _Toc162950322 \h </w:instrText>
      </w:r>
      <w:r>
        <w:fldChar w:fldCharType="separate"/>
      </w:r>
      <w:r>
        <w:t>6</w:t>
      </w:r>
      <w:r>
        <w:fldChar w:fldCharType="end"/>
      </w:r>
      <w:r>
        <w:fldChar w:fldCharType="end"/>
      </w:r>
    </w:p>
    <w:p w14:paraId="18364055">
      <w:pPr>
        <w:pStyle w:val="24"/>
        <w:rPr>
          <w:rFonts w:asciiTheme="minorHAnsi" w:hAnsiTheme="minorHAnsi" w:eastAsiaTheme="minorEastAsia" w:cstheme="minorBidi"/>
          <w:szCs w:val="22"/>
        </w:rPr>
      </w:pPr>
      <w:r>
        <w:fldChar w:fldCharType="begin"/>
      </w:r>
      <w:r>
        <w:instrText xml:space="preserve"> HYPERLINK \l "_Toc162950323" </w:instrText>
      </w:r>
      <w:r>
        <w:fldChar w:fldCharType="separate"/>
      </w:r>
      <w:r>
        <w:rPr>
          <w:rStyle w:val="32"/>
          <w14:scene3d w14:prst="orthographicFront">
            <w14:lightRig w14:rig="threePt" w14:dir="t">
              <w14:rot w14:lat="0" w14:lon="0" w14:rev="0"/>
            </w14:lightRig>
          </w14:scene3d>
        </w:rPr>
        <w:t xml:space="preserve">6.1 </w:t>
      </w:r>
      <w:r>
        <w:rPr>
          <w:rStyle w:val="32"/>
        </w:rPr>
        <w:t xml:space="preserve"> 分析测试要求</w:t>
      </w:r>
      <w:r>
        <w:tab/>
      </w:r>
      <w:r>
        <w:fldChar w:fldCharType="begin"/>
      </w:r>
      <w:r>
        <w:instrText xml:space="preserve"> PAGEREF _Toc162950323 \h </w:instrText>
      </w:r>
      <w:r>
        <w:fldChar w:fldCharType="separate"/>
      </w:r>
      <w:r>
        <w:t>7</w:t>
      </w:r>
      <w:r>
        <w:fldChar w:fldCharType="end"/>
      </w:r>
      <w:r>
        <w:fldChar w:fldCharType="end"/>
      </w:r>
    </w:p>
    <w:p w14:paraId="58FE471B">
      <w:pPr>
        <w:pStyle w:val="24"/>
        <w:rPr>
          <w:rFonts w:asciiTheme="minorHAnsi" w:hAnsiTheme="minorHAnsi" w:eastAsiaTheme="minorEastAsia" w:cstheme="minorBidi"/>
          <w:szCs w:val="22"/>
        </w:rPr>
      </w:pPr>
      <w:r>
        <w:fldChar w:fldCharType="begin"/>
      </w:r>
      <w:r>
        <w:instrText xml:space="preserve"> HYPERLINK \l "_Toc162950324" </w:instrText>
      </w:r>
      <w:r>
        <w:fldChar w:fldCharType="separate"/>
      </w:r>
      <w:r>
        <w:rPr>
          <w:rStyle w:val="32"/>
          <w14:scene3d w14:prst="orthographicFront">
            <w14:lightRig w14:rig="threePt" w14:dir="t">
              <w14:rot w14:lat="0" w14:lon="0" w14:rev="0"/>
            </w14:lightRig>
          </w14:scene3d>
        </w:rPr>
        <w:t xml:space="preserve">6.2 </w:t>
      </w:r>
      <w:r>
        <w:rPr>
          <w:rStyle w:val="32"/>
        </w:rPr>
        <w:t xml:space="preserve"> 工艺环节污染控制要求</w:t>
      </w:r>
      <w:r>
        <w:tab/>
      </w:r>
      <w:r>
        <w:fldChar w:fldCharType="begin"/>
      </w:r>
      <w:r>
        <w:instrText xml:space="preserve"> PAGEREF _Toc162950324 \h </w:instrText>
      </w:r>
      <w:r>
        <w:fldChar w:fldCharType="separate"/>
      </w:r>
      <w:r>
        <w:t>7</w:t>
      </w:r>
      <w:r>
        <w:fldChar w:fldCharType="end"/>
      </w:r>
      <w:r>
        <w:fldChar w:fldCharType="end"/>
      </w:r>
    </w:p>
    <w:p w14:paraId="4CB55F55">
      <w:pPr>
        <w:pStyle w:val="24"/>
        <w:rPr>
          <w:rFonts w:asciiTheme="minorHAnsi" w:hAnsiTheme="minorHAnsi" w:eastAsiaTheme="minorEastAsia" w:cstheme="minorBidi"/>
          <w:szCs w:val="22"/>
        </w:rPr>
      </w:pPr>
      <w:r>
        <w:fldChar w:fldCharType="begin"/>
      </w:r>
      <w:r>
        <w:instrText xml:space="preserve"> HYPERLINK \l "_Toc162950325" </w:instrText>
      </w:r>
      <w:r>
        <w:fldChar w:fldCharType="separate"/>
      </w:r>
      <w:r>
        <w:rPr>
          <w:rStyle w:val="32"/>
          <w14:scene3d w14:prst="orthographicFront">
            <w14:lightRig w14:rig="threePt" w14:dir="t">
              <w14:rot w14:lat="0" w14:lon="0" w14:rev="0"/>
            </w14:lightRig>
          </w14:scene3d>
        </w:rPr>
        <w:t xml:space="preserve">6.3 </w:t>
      </w:r>
      <w:r>
        <w:rPr>
          <w:rStyle w:val="32"/>
        </w:rPr>
        <w:t xml:space="preserve"> 末端污染控制要求</w:t>
      </w:r>
      <w:r>
        <w:tab/>
      </w:r>
      <w:r>
        <w:fldChar w:fldCharType="begin"/>
      </w:r>
      <w:r>
        <w:instrText xml:space="preserve"> PAGEREF _Toc162950325 \h </w:instrText>
      </w:r>
      <w:r>
        <w:fldChar w:fldCharType="separate"/>
      </w:r>
      <w:r>
        <w:t>9</w:t>
      </w:r>
      <w:r>
        <w:fldChar w:fldCharType="end"/>
      </w:r>
      <w:r>
        <w:fldChar w:fldCharType="end"/>
      </w:r>
    </w:p>
    <w:p w14:paraId="2001FEEE">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"_Toc162950326" </w:instrText>
      </w:r>
      <w:r>
        <w:fldChar w:fldCharType="separate"/>
      </w:r>
      <w:r>
        <w:rPr>
          <w:rStyle w:val="32"/>
        </w:rPr>
        <w:t>7  利用产物控制要求</w:t>
      </w:r>
      <w:r>
        <w:tab/>
      </w:r>
      <w:r>
        <w:fldChar w:fldCharType="begin"/>
      </w:r>
      <w:r>
        <w:instrText xml:space="preserve"> PAGEREF _Toc162950326 \h </w:instrText>
      </w:r>
      <w:r>
        <w:fldChar w:fldCharType="separate"/>
      </w:r>
      <w:r>
        <w:t>9</w:t>
      </w:r>
      <w:r>
        <w:fldChar w:fldCharType="end"/>
      </w:r>
      <w:r>
        <w:fldChar w:fldCharType="end"/>
      </w:r>
    </w:p>
    <w:p w14:paraId="6D0EE471">
      <w:pPr>
        <w:pStyle w:val="24"/>
        <w:rPr>
          <w:rFonts w:asciiTheme="minorHAnsi" w:hAnsiTheme="minorHAnsi" w:eastAsiaTheme="minorEastAsia" w:cstheme="minorBidi"/>
          <w:szCs w:val="22"/>
        </w:rPr>
      </w:pPr>
      <w:r>
        <w:fldChar w:fldCharType="begin"/>
      </w:r>
      <w:r>
        <w:instrText xml:space="preserve"> HYPERLINK \l "_Toc162950327" </w:instrText>
      </w:r>
      <w:r>
        <w:fldChar w:fldCharType="separate"/>
      </w:r>
      <w:r>
        <w:rPr>
          <w:rStyle w:val="32"/>
          <w14:scene3d w14:prst="orthographicFront">
            <w14:lightRig w14:rig="threePt" w14:dir="t">
              <w14:rot w14:lat="0" w14:lon="0" w14:rev="0"/>
            </w14:lightRig>
          </w14:scene3d>
        </w:rPr>
        <w:t xml:space="preserve">7.1 </w:t>
      </w:r>
      <w:r>
        <w:rPr>
          <w:rStyle w:val="32"/>
        </w:rPr>
        <w:t xml:space="preserve"> 一般要求</w:t>
      </w:r>
      <w:r>
        <w:tab/>
      </w:r>
      <w:r>
        <w:fldChar w:fldCharType="begin"/>
      </w:r>
      <w:r>
        <w:instrText xml:space="preserve"> PAGEREF _Toc162950327 \h </w:instrText>
      </w:r>
      <w:r>
        <w:fldChar w:fldCharType="separate"/>
      </w:r>
      <w:r>
        <w:t>10</w:t>
      </w:r>
      <w:r>
        <w:fldChar w:fldCharType="end"/>
      </w:r>
      <w:r>
        <w:fldChar w:fldCharType="end"/>
      </w:r>
    </w:p>
    <w:p w14:paraId="5FB566D1">
      <w:pPr>
        <w:pStyle w:val="24"/>
        <w:rPr>
          <w:rFonts w:asciiTheme="minorHAnsi" w:hAnsiTheme="minorHAnsi" w:eastAsiaTheme="minorEastAsia" w:cstheme="minorBidi"/>
          <w:szCs w:val="22"/>
        </w:rPr>
      </w:pPr>
      <w:r>
        <w:fldChar w:fldCharType="begin"/>
      </w:r>
      <w:r>
        <w:instrText xml:space="preserve"> HYPERLINK \l "_Toc162950328" </w:instrText>
      </w:r>
      <w:r>
        <w:fldChar w:fldCharType="separate"/>
      </w:r>
      <w:r>
        <w:rPr>
          <w:rStyle w:val="32"/>
          <w14:scene3d w14:prst="orthographicFront">
            <w14:lightRig w14:rig="threePt" w14:dir="t">
              <w14:rot w14:lat="0" w14:lon="0" w14:rev="0"/>
            </w14:lightRig>
          </w14:scene3d>
        </w:rPr>
        <w:t xml:space="preserve">7.2 </w:t>
      </w:r>
      <w:r>
        <w:rPr>
          <w:rStyle w:val="32"/>
        </w:rPr>
        <w:t xml:space="preserve"> 铜粉的控制要求</w:t>
      </w:r>
      <w:r>
        <w:tab/>
      </w:r>
      <w:r>
        <w:fldChar w:fldCharType="begin"/>
      </w:r>
      <w:r>
        <w:instrText xml:space="preserve"> PAGEREF _Toc162950328 \h </w:instrText>
      </w:r>
      <w:r>
        <w:fldChar w:fldCharType="separate"/>
      </w:r>
      <w:r>
        <w:t>10</w:t>
      </w:r>
      <w:r>
        <w:fldChar w:fldCharType="end"/>
      </w:r>
      <w:r>
        <w:fldChar w:fldCharType="end"/>
      </w:r>
    </w:p>
    <w:p w14:paraId="3FD479E8">
      <w:pPr>
        <w:pStyle w:val="24"/>
        <w:rPr>
          <w:rFonts w:asciiTheme="minorHAnsi" w:hAnsiTheme="minorHAnsi" w:eastAsiaTheme="minorEastAsia" w:cstheme="minorBidi"/>
          <w:szCs w:val="22"/>
        </w:rPr>
      </w:pPr>
      <w:r>
        <w:fldChar w:fldCharType="begin"/>
      </w:r>
      <w:r>
        <w:instrText xml:space="preserve"> HYPERLINK \l "_Toc162950329" </w:instrText>
      </w:r>
      <w:r>
        <w:fldChar w:fldCharType="separate"/>
      </w:r>
      <w:r>
        <w:rPr>
          <w:rStyle w:val="32"/>
          <w14:scene3d w14:prst="orthographicFront">
            <w14:lightRig w14:rig="threePt" w14:dir="t">
              <w14:rot w14:lat="0" w14:lon="0" w14:rev="0"/>
            </w14:lightRig>
          </w14:scene3d>
        </w:rPr>
        <w:t xml:space="preserve">7.3 </w:t>
      </w:r>
      <w:r>
        <w:rPr>
          <w:rStyle w:val="32"/>
        </w:rPr>
        <w:t xml:space="preserve"> 废树脂粉材料化控制要求</w:t>
      </w:r>
      <w:r>
        <w:tab/>
      </w:r>
      <w:r>
        <w:fldChar w:fldCharType="begin"/>
      </w:r>
      <w:r>
        <w:instrText xml:space="preserve"> PAGEREF _Toc162950329 \h </w:instrText>
      </w:r>
      <w:r>
        <w:fldChar w:fldCharType="separate"/>
      </w:r>
      <w:r>
        <w:t>10</w:t>
      </w:r>
      <w:r>
        <w:fldChar w:fldCharType="end"/>
      </w:r>
      <w:r>
        <w:fldChar w:fldCharType="end"/>
      </w:r>
    </w:p>
    <w:p w14:paraId="056831C0">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"_Toc162950330" </w:instrText>
      </w:r>
      <w:r>
        <w:fldChar w:fldCharType="separate"/>
      </w:r>
      <w:r>
        <w:rPr>
          <w:rStyle w:val="32"/>
        </w:rPr>
        <w:t>8  运行管理要求</w:t>
      </w:r>
      <w:r>
        <w:tab/>
      </w:r>
      <w:r>
        <w:fldChar w:fldCharType="begin"/>
      </w:r>
      <w:r>
        <w:instrText xml:space="preserve"> PAGEREF _Toc162950330 \h </w:instrText>
      </w:r>
      <w:r>
        <w:fldChar w:fldCharType="separate"/>
      </w:r>
      <w:r>
        <w:t>11</w:t>
      </w:r>
      <w:r>
        <w:fldChar w:fldCharType="end"/>
      </w:r>
      <w:r>
        <w:fldChar w:fldCharType="end"/>
      </w:r>
    </w:p>
    <w:p w14:paraId="74D2472A">
      <w:pPr>
        <w:pStyle w:val="24"/>
        <w:rPr>
          <w:rFonts w:asciiTheme="minorHAnsi" w:hAnsiTheme="minorHAnsi" w:eastAsiaTheme="minorEastAsia" w:cstheme="minorBidi"/>
          <w:szCs w:val="22"/>
        </w:rPr>
      </w:pPr>
      <w:r>
        <w:fldChar w:fldCharType="begin"/>
      </w:r>
      <w:r>
        <w:instrText xml:space="preserve"> HYPERLINK \l "_Toc162950331" </w:instrText>
      </w:r>
      <w:r>
        <w:fldChar w:fldCharType="separate"/>
      </w:r>
      <w:r>
        <w:rPr>
          <w:rStyle w:val="32"/>
          <w14:scene3d w14:prst="orthographicFront">
            <w14:lightRig w14:rig="threePt" w14:dir="t">
              <w14:rot w14:lat="0" w14:lon="0" w14:rev="0"/>
            </w14:lightRig>
          </w14:scene3d>
        </w:rPr>
        <w:t xml:space="preserve">8.1 </w:t>
      </w:r>
      <w:r>
        <w:rPr>
          <w:rStyle w:val="32"/>
        </w:rPr>
        <w:t xml:space="preserve"> 运行要求</w:t>
      </w:r>
      <w:r>
        <w:tab/>
      </w:r>
      <w:r>
        <w:fldChar w:fldCharType="begin"/>
      </w:r>
      <w:r>
        <w:instrText xml:space="preserve"> PAGEREF _Toc162950331 \h </w:instrText>
      </w:r>
      <w:r>
        <w:fldChar w:fldCharType="separate"/>
      </w:r>
      <w:r>
        <w:t>11</w:t>
      </w:r>
      <w:r>
        <w:fldChar w:fldCharType="end"/>
      </w:r>
      <w:r>
        <w:fldChar w:fldCharType="end"/>
      </w:r>
    </w:p>
    <w:p w14:paraId="583E408A">
      <w:pPr>
        <w:pStyle w:val="24"/>
        <w:rPr>
          <w:rFonts w:asciiTheme="minorHAnsi" w:hAnsiTheme="minorHAnsi" w:eastAsiaTheme="minorEastAsia" w:cstheme="minorBidi"/>
          <w:szCs w:val="22"/>
        </w:rPr>
      </w:pPr>
      <w:r>
        <w:fldChar w:fldCharType="begin"/>
      </w:r>
      <w:r>
        <w:instrText xml:space="preserve"> HYPERLINK \l "_Toc162950332" </w:instrText>
      </w:r>
      <w:r>
        <w:fldChar w:fldCharType="separate"/>
      </w:r>
      <w:r>
        <w:rPr>
          <w:rStyle w:val="32"/>
          <w14:scene3d w14:prst="orthographicFront">
            <w14:lightRig w14:rig="threePt" w14:dir="t">
              <w14:rot w14:lat="0" w14:lon="0" w14:rev="0"/>
            </w14:lightRig>
          </w14:scene3d>
        </w:rPr>
        <w:t xml:space="preserve">8.2 </w:t>
      </w:r>
      <w:r>
        <w:rPr>
          <w:rStyle w:val="32"/>
        </w:rPr>
        <w:t xml:space="preserve"> 经营情况记录</w:t>
      </w:r>
      <w:r>
        <w:tab/>
      </w:r>
      <w:r>
        <w:fldChar w:fldCharType="begin"/>
      </w:r>
      <w:r>
        <w:instrText xml:space="preserve"> PAGEREF _Toc162950332 \h </w:instrText>
      </w:r>
      <w:r>
        <w:fldChar w:fldCharType="separate"/>
      </w:r>
      <w:r>
        <w:t>11</w:t>
      </w:r>
      <w:r>
        <w:fldChar w:fldCharType="end"/>
      </w:r>
      <w:r>
        <w:fldChar w:fldCharType="end"/>
      </w:r>
    </w:p>
    <w:p w14:paraId="0BC3E294">
      <w:pPr>
        <w:pStyle w:val="24"/>
        <w:rPr>
          <w:rFonts w:asciiTheme="minorHAnsi" w:hAnsiTheme="minorHAnsi" w:eastAsiaTheme="minorEastAsia" w:cstheme="minorBidi"/>
          <w:szCs w:val="22"/>
        </w:rPr>
      </w:pPr>
      <w:r>
        <w:fldChar w:fldCharType="begin"/>
      </w:r>
      <w:r>
        <w:instrText xml:space="preserve"> HYPERLINK \l "_Toc162950333" </w:instrText>
      </w:r>
      <w:r>
        <w:fldChar w:fldCharType="separate"/>
      </w:r>
      <w:r>
        <w:rPr>
          <w:rStyle w:val="32"/>
          <w14:scene3d w14:prst="orthographicFront">
            <w14:lightRig w14:rig="threePt" w14:dir="t">
              <w14:rot w14:lat="0" w14:lon="0" w14:rev="0"/>
            </w14:lightRig>
          </w14:scene3d>
        </w:rPr>
        <w:t xml:space="preserve">8.3 </w:t>
      </w:r>
      <w:r>
        <w:rPr>
          <w:rStyle w:val="32"/>
        </w:rPr>
        <w:t xml:space="preserve"> 监测与信息公开</w:t>
      </w:r>
      <w:r>
        <w:tab/>
      </w:r>
      <w:r>
        <w:fldChar w:fldCharType="begin"/>
      </w:r>
      <w:r>
        <w:instrText xml:space="preserve"> PAGEREF _Toc162950333 \h </w:instrText>
      </w:r>
      <w:r>
        <w:fldChar w:fldCharType="separate"/>
      </w:r>
      <w:r>
        <w:t>11</w:t>
      </w:r>
      <w:r>
        <w:fldChar w:fldCharType="end"/>
      </w:r>
      <w:r>
        <w:fldChar w:fldCharType="end"/>
      </w:r>
    </w:p>
    <w:p w14:paraId="166EA4AE">
      <w:pPr>
        <w:pStyle w:val="24"/>
        <w:rPr>
          <w:rFonts w:asciiTheme="minorHAnsi" w:hAnsiTheme="minorHAnsi" w:eastAsiaTheme="minorEastAsia" w:cstheme="minorBidi"/>
          <w:szCs w:val="22"/>
        </w:rPr>
      </w:pPr>
      <w:r>
        <w:fldChar w:fldCharType="begin"/>
      </w:r>
      <w:r>
        <w:instrText xml:space="preserve"> HYPERLINK \l "_Toc162950334" </w:instrText>
      </w:r>
      <w:r>
        <w:fldChar w:fldCharType="separate"/>
      </w:r>
      <w:r>
        <w:rPr>
          <w:rStyle w:val="32"/>
          <w14:scene3d w14:prst="orthographicFront">
            <w14:lightRig w14:rig="threePt" w14:dir="t">
              <w14:rot w14:lat="0" w14:lon="0" w14:rev="0"/>
            </w14:lightRig>
          </w14:scene3d>
        </w:rPr>
        <w:t xml:space="preserve">8.4 </w:t>
      </w:r>
      <w:r>
        <w:rPr>
          <w:rStyle w:val="32"/>
        </w:rPr>
        <w:t xml:space="preserve"> 应急预案制定及演练</w:t>
      </w:r>
      <w:r>
        <w:tab/>
      </w:r>
      <w:r>
        <w:fldChar w:fldCharType="begin"/>
      </w:r>
      <w:r>
        <w:instrText xml:space="preserve"> PAGEREF _Toc162950334 \h </w:instrText>
      </w:r>
      <w:r>
        <w:fldChar w:fldCharType="separate"/>
      </w:r>
      <w:r>
        <w:t>12</w:t>
      </w:r>
      <w:r>
        <w:fldChar w:fldCharType="end"/>
      </w:r>
      <w:r>
        <w:fldChar w:fldCharType="end"/>
      </w:r>
    </w:p>
    <w:p w14:paraId="5395FF43">
      <w:pPr>
        <w:pStyle w:val="24"/>
        <w:rPr>
          <w:rFonts w:asciiTheme="minorHAnsi" w:hAnsiTheme="minorHAnsi" w:eastAsiaTheme="minorEastAsia" w:cstheme="minorBidi"/>
          <w:szCs w:val="22"/>
        </w:rPr>
      </w:pPr>
      <w:r>
        <w:fldChar w:fldCharType="begin"/>
      </w:r>
      <w:r>
        <w:instrText xml:space="preserve"> HYPERLINK \l "_Toc162950335" </w:instrText>
      </w:r>
      <w:r>
        <w:fldChar w:fldCharType="separate"/>
      </w:r>
      <w:r>
        <w:rPr>
          <w:rStyle w:val="32"/>
          <w14:scene3d w14:prst="orthographicFront">
            <w14:lightRig w14:rig="threePt" w14:dir="t">
              <w14:rot w14:lat="0" w14:lon="0" w14:rev="0"/>
            </w14:lightRig>
          </w14:scene3d>
        </w:rPr>
        <w:t xml:space="preserve">8.5 </w:t>
      </w:r>
      <w:r>
        <w:rPr>
          <w:rStyle w:val="32"/>
        </w:rPr>
        <w:t xml:space="preserve"> 人员培训</w:t>
      </w:r>
      <w:r>
        <w:tab/>
      </w:r>
      <w:r>
        <w:fldChar w:fldCharType="begin"/>
      </w:r>
      <w:r>
        <w:instrText xml:space="preserve"> PAGEREF _Toc162950335 \h </w:instrText>
      </w:r>
      <w:r>
        <w:fldChar w:fldCharType="separate"/>
      </w:r>
      <w:r>
        <w:t>12</w:t>
      </w:r>
      <w:r>
        <w:fldChar w:fldCharType="end"/>
      </w:r>
      <w:r>
        <w:fldChar w:fldCharType="end"/>
      </w:r>
    </w:p>
    <w:p w14:paraId="0E40888C">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"_Toc162950337" </w:instrText>
      </w:r>
      <w:r>
        <w:fldChar w:fldCharType="separate"/>
      </w:r>
      <w:r>
        <w:rPr>
          <w:rStyle w:val="32"/>
        </w:rPr>
        <w:t>附录A（资料性）  指标计算式</w:t>
      </w:r>
      <w:r>
        <w:tab/>
      </w:r>
      <w:r>
        <w:fldChar w:fldCharType="begin"/>
      </w:r>
      <w:r>
        <w:instrText xml:space="preserve"> PAGEREF _Toc162950337 \h </w:instrText>
      </w:r>
      <w:r>
        <w:fldChar w:fldCharType="separate"/>
      </w:r>
      <w:r>
        <w:t>13</w:t>
      </w:r>
      <w:r>
        <w:fldChar w:fldCharType="end"/>
      </w:r>
      <w:r>
        <w:fldChar w:fldCharType="end"/>
      </w:r>
    </w:p>
    <w:p w14:paraId="74AE4FA2">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38C94931">
      <w:pPr>
        <w:pStyle w:val="89"/>
        <w:spacing w:before="900" w:after="468"/>
      </w:pPr>
      <w:bookmarkStart w:id="22" w:name="_Toc162950308"/>
      <w:bookmarkStart w:id="23" w:name="BookMark2"/>
      <w:r>
        <w:rPr>
          <w:spacing w:val="320"/>
        </w:rPr>
        <w:t>前</w:t>
      </w:r>
      <w:r>
        <w:t>言</w:t>
      </w:r>
      <w:bookmarkEnd w:id="22"/>
    </w:p>
    <w:p w14:paraId="6F31D204">
      <w:pPr>
        <w:pStyle w:val="56"/>
        <w:ind w:firstLine="420"/>
      </w:pPr>
      <w:r>
        <w:rPr>
          <w:rFonts w:hint="eastAsia"/>
        </w:rPr>
        <w:t>本文件按照GB/T 1.1—2020《标准化工作导则  第1部分：标准化文件的结构和起草规则》的规定起草。</w:t>
      </w:r>
    </w:p>
    <w:p w14:paraId="689D4080">
      <w:pPr>
        <w:pStyle w:val="56"/>
        <w:ind w:firstLine="420"/>
      </w:pPr>
      <w:r>
        <w:rPr>
          <w:rFonts w:hint="eastAsia"/>
        </w:rPr>
        <w:t>本文件由湖北省生态环境科学研究院（省生态环境工程评估中心）提出。</w:t>
      </w:r>
    </w:p>
    <w:p w14:paraId="20DBADAF">
      <w:pPr>
        <w:pStyle w:val="56"/>
        <w:ind w:firstLine="420"/>
      </w:pPr>
      <w:r>
        <w:rPr>
          <w:rFonts w:hint="eastAsia"/>
        </w:rPr>
        <w:t>本文件由湖北省生态环境厅归口。</w:t>
      </w:r>
    </w:p>
    <w:p w14:paraId="5C065D00">
      <w:pPr>
        <w:pStyle w:val="56"/>
        <w:ind w:firstLine="420"/>
      </w:pPr>
      <w:r>
        <w:rPr>
          <w:rFonts w:hint="eastAsia"/>
        </w:rPr>
        <w:t>本文件起草单位：湖北省生态环境科学研究院（省生态环境工程评估中心）、湖北省固体废物与化学品污染防治中心、荆门格林美循环电子废弃物处置有限公司。</w:t>
      </w:r>
    </w:p>
    <w:p w14:paraId="26038938">
      <w:pPr>
        <w:pStyle w:val="56"/>
        <w:ind w:firstLine="420"/>
      </w:pPr>
      <w:r>
        <w:rPr>
          <w:rFonts w:hint="eastAsia"/>
        </w:rPr>
        <w:t>本文件主要起草人：</w:t>
      </w:r>
      <w:r>
        <w:rPr>
          <w:rFonts w:hint="eastAsia"/>
          <w:lang w:val="en-US" w:eastAsia="zh-CN"/>
        </w:rPr>
        <w:t>段盼盼、朱燕···</w:t>
      </w:r>
    </w:p>
    <w:p w14:paraId="108C6634">
      <w:pPr>
        <w:pStyle w:val="56"/>
        <w:ind w:firstLine="420"/>
        <w:rPr>
          <w:rFonts w:ascii="Times New Roman"/>
        </w:rPr>
      </w:pPr>
      <w:r>
        <w:rPr>
          <w:rFonts w:ascii="Times New Roman"/>
        </w:rPr>
        <w:t>对本文件的有关修改意见建议请反馈至湖北省生态环境科学研究院，电话：027-878</w:t>
      </w:r>
      <w:r>
        <w:rPr>
          <w:rFonts w:hint="eastAsia" w:ascii="Times New Roman"/>
          <w:lang w:val="en-US" w:eastAsia="zh-CN"/>
        </w:rPr>
        <w:t>87701</w:t>
      </w:r>
      <w:r>
        <w:rPr>
          <w:rFonts w:ascii="Times New Roman"/>
        </w:rPr>
        <w:t>，邮箱：</w:t>
      </w:r>
      <w:r>
        <w:rPr>
          <w:rFonts w:hint="eastAsia" w:ascii="Times New Roman"/>
        </w:rPr>
        <w:t>hky_ghs</w:t>
      </w:r>
      <w:r>
        <w:rPr>
          <w:rFonts w:ascii="Times New Roman"/>
        </w:rPr>
        <w:t>@163.com。</w:t>
      </w:r>
    </w:p>
    <w:p w14:paraId="7CF09332">
      <w:pPr>
        <w:pStyle w:val="56"/>
        <w:ind w:firstLine="420"/>
        <w:sectPr>
          <w:pgSz w:w="11906" w:h="16838"/>
          <w:pgMar w:top="1928" w:right="1134" w:bottom="1134" w:left="1134" w:header="1418" w:footer="1134" w:gutter="284"/>
          <w:pgNumType w:fmt="upperRoman"/>
          <w:cols w:space="425" w:num="1"/>
          <w:formProt w:val="0"/>
          <w:docGrid w:type="lines" w:linePitch="312" w:charSpace="0"/>
        </w:sectPr>
      </w:pPr>
      <w:bookmarkStart w:id="102" w:name="_GoBack"/>
      <w:bookmarkEnd w:id="102"/>
    </w:p>
    <w:bookmarkEnd w:id="23"/>
    <w:p w14:paraId="72ACF3B4">
      <w:pPr>
        <w:spacing w:line="20" w:lineRule="exact"/>
        <w:jc w:val="center"/>
        <w:rPr>
          <w:rFonts w:ascii="黑体" w:hAnsi="黑体" w:eastAsia="黑体"/>
          <w:sz w:val="32"/>
          <w:szCs w:val="32"/>
        </w:rPr>
      </w:pPr>
      <w:bookmarkStart w:id="24" w:name="BookMark4"/>
    </w:p>
    <w:p w14:paraId="08742889">
      <w:pPr>
        <w:spacing w:line="20" w:lineRule="exact"/>
        <w:jc w:val="center"/>
        <w:rPr>
          <w:rFonts w:ascii="黑体" w:hAnsi="黑体" w:eastAsia="黑体"/>
          <w:sz w:val="32"/>
          <w:szCs w:val="32"/>
        </w:rPr>
      </w:pPr>
    </w:p>
    <w:sdt>
      <w:sdtPr>
        <w:tag w:val="NEW_STAND_NAME"/>
        <w:id w:val="595910757"/>
        <w:lock w:val="sdtLocked"/>
        <w:placeholder>
          <w:docPart w:val="450D3BB4DD294DC980F78E109CFE8779"/>
        </w:placeholder>
      </w:sdtPr>
      <w:sdtContent>
        <w:p w14:paraId="4A1468EE">
          <w:pPr>
            <w:pStyle w:val="177"/>
            <w:spacing w:before="312" w:beforeLines="100" w:after="686" w:afterLines="220"/>
          </w:pPr>
          <w:bookmarkStart w:id="25" w:name="NEW_STAND_NAME"/>
          <w:r>
            <w:rPr>
              <w:rFonts w:hint="eastAsia"/>
            </w:rPr>
            <w:t>危险废物利用处置污染控制技术规范 第2部分:废电路板</w:t>
          </w:r>
        </w:p>
      </w:sdtContent>
    </w:sdt>
    <w:bookmarkEnd w:id="25"/>
    <w:p w14:paraId="11C6F1B1">
      <w:pPr>
        <w:pStyle w:val="104"/>
        <w:spacing w:before="312" w:after="312"/>
      </w:pPr>
      <w:bookmarkStart w:id="26" w:name="_Toc26986530"/>
      <w:bookmarkStart w:id="27" w:name="_Toc26986771"/>
      <w:bookmarkStart w:id="28" w:name="_Toc97191423"/>
      <w:bookmarkStart w:id="29" w:name="_Toc162950309"/>
      <w:bookmarkStart w:id="30" w:name="_Toc26648465"/>
      <w:bookmarkStart w:id="31" w:name="_Toc17233333"/>
      <w:bookmarkStart w:id="32" w:name="_Toc17233325"/>
      <w:bookmarkStart w:id="33" w:name="_Toc24884211"/>
      <w:bookmarkStart w:id="34" w:name="_Toc26718930"/>
      <w:bookmarkStart w:id="35" w:name="_Toc24884218"/>
      <w:r>
        <w:rPr>
          <w:rFonts w:hint="eastAsia"/>
        </w:rPr>
        <w:t>范围</w:t>
      </w:r>
      <w:bookmarkEnd w:id="26"/>
      <w:bookmarkEnd w:id="27"/>
      <w:bookmarkEnd w:id="28"/>
      <w:bookmarkEnd w:id="29"/>
      <w:bookmarkEnd w:id="30"/>
      <w:bookmarkEnd w:id="31"/>
      <w:bookmarkEnd w:id="32"/>
      <w:bookmarkEnd w:id="33"/>
      <w:bookmarkEnd w:id="34"/>
      <w:bookmarkEnd w:id="35"/>
    </w:p>
    <w:p w14:paraId="3896B0BC">
      <w:pPr>
        <w:pStyle w:val="56"/>
        <w:ind w:firstLine="420"/>
      </w:pPr>
      <w:bookmarkStart w:id="36" w:name="_Toc24884219"/>
      <w:bookmarkStart w:id="37" w:name="_Toc26648466"/>
      <w:bookmarkStart w:id="38" w:name="_Toc17233334"/>
      <w:bookmarkStart w:id="39" w:name="_Toc24884212"/>
      <w:bookmarkStart w:id="40" w:name="_Toc17233326"/>
      <w:r>
        <w:t>本文件规定了废电路板综合利用污染控制的总体要求、废电路板收集、运输和贮存、综合利用污染控制、再生产物控制的技术要求以及运行管理要求。</w:t>
      </w:r>
    </w:p>
    <w:p w14:paraId="61958461">
      <w:pPr>
        <w:pStyle w:val="56"/>
        <w:ind w:firstLine="420"/>
      </w:pPr>
      <w:r>
        <w:t>本文件适用于废电路板综合利用企业建厂选址、工程建设、运行管理以及与废电路板综合利用有关项目的环境影响评价、环境保护设施设计、竣工环境保护验收、排污许可管理、清洁生产审核等。</w:t>
      </w:r>
    </w:p>
    <w:p w14:paraId="1ED5A788">
      <w:pPr>
        <w:pStyle w:val="104"/>
        <w:spacing w:before="312" w:after="312"/>
      </w:pPr>
      <w:bookmarkStart w:id="41" w:name="_Toc97191424"/>
      <w:bookmarkStart w:id="42" w:name="_Toc26986772"/>
      <w:bookmarkStart w:id="43" w:name="_Toc26986531"/>
      <w:bookmarkStart w:id="44" w:name="_Toc162950310"/>
      <w:bookmarkStart w:id="45" w:name="_Toc2671893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22E270090246411BBA7EE076AA73B41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714C80B">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6C893DF">
      <w:pPr>
        <w:pStyle w:val="56"/>
        <w:ind w:firstLine="420"/>
      </w:pPr>
      <w:r>
        <w:t>GB 5085.7 危险废物鉴别标准 通则</w:t>
      </w:r>
    </w:p>
    <w:p w14:paraId="641F2B12">
      <w:pPr>
        <w:pStyle w:val="56"/>
        <w:ind w:firstLine="420"/>
      </w:pPr>
      <w:r>
        <w:t>GB 8978 污水综合排放标准</w:t>
      </w:r>
    </w:p>
    <w:p w14:paraId="142D4972">
      <w:pPr>
        <w:pStyle w:val="56"/>
        <w:ind w:firstLine="420"/>
      </w:pPr>
      <w:r>
        <w:t>GB 9078 工业炉窑大气污染物排放标准</w:t>
      </w:r>
    </w:p>
    <w:p w14:paraId="63A2DECE">
      <w:pPr>
        <w:pStyle w:val="56"/>
        <w:ind w:firstLine="420"/>
      </w:pPr>
      <w:r>
        <w:t>GB 12348 工业企业厂界环境噪声排放标准</w:t>
      </w:r>
    </w:p>
    <w:p w14:paraId="3EEFD8B9">
      <w:pPr>
        <w:pStyle w:val="56"/>
        <w:ind w:firstLine="420"/>
      </w:pPr>
      <w:r>
        <w:t>GB/T 15249.3 合质金化学分析方法 第3部分：铜量的测定 碘量法</w:t>
      </w:r>
    </w:p>
    <w:p w14:paraId="7E9BA44B">
      <w:pPr>
        <w:pStyle w:val="56"/>
        <w:ind w:firstLine="420"/>
      </w:pPr>
      <w:r>
        <w:t>GB 16297 大气污染物综合排放标准</w:t>
      </w:r>
    </w:p>
    <w:p w14:paraId="2B4B8248">
      <w:pPr>
        <w:pStyle w:val="56"/>
        <w:ind w:firstLine="420"/>
      </w:pPr>
      <w:r>
        <w:t>GB 18452 破碎设备 安全要求</w:t>
      </w:r>
    </w:p>
    <w:p w14:paraId="47B193A1">
      <w:pPr>
        <w:pStyle w:val="56"/>
        <w:ind w:firstLine="420"/>
      </w:pPr>
      <w:r>
        <w:t>GB 18484 危险废物焚烧污染控制标准</w:t>
      </w:r>
    </w:p>
    <w:p w14:paraId="36A76917">
      <w:pPr>
        <w:pStyle w:val="56"/>
        <w:ind w:firstLine="420"/>
      </w:pPr>
      <w:r>
        <w:t>GB 18580 室内装饰装修材料人造板及其制品中甲醛释放限量</w:t>
      </w:r>
    </w:p>
    <w:p w14:paraId="73B468A5">
      <w:pPr>
        <w:pStyle w:val="56"/>
        <w:ind w:firstLine="420"/>
      </w:pPr>
      <w:r>
        <w:t>GB 18582 建筑用墙面涂料中有害物质限量</w:t>
      </w:r>
    </w:p>
    <w:p w14:paraId="568F6C6C">
      <w:pPr>
        <w:pStyle w:val="56"/>
        <w:ind w:firstLine="420"/>
      </w:pPr>
      <w:r>
        <w:t>GB 18597 危险废物贮存污染控制标准</w:t>
      </w:r>
    </w:p>
    <w:p w14:paraId="68933FF2">
      <w:pPr>
        <w:pStyle w:val="56"/>
        <w:ind w:firstLine="420"/>
      </w:pPr>
      <w:r>
        <w:t>GB 25467 铜、镍、钴工业污染物排放标准</w:t>
      </w:r>
    </w:p>
    <w:p w14:paraId="0DB3E493">
      <w:pPr>
        <w:pStyle w:val="56"/>
        <w:ind w:firstLine="420"/>
      </w:pPr>
      <w:r>
        <w:t>GB 28481 塑料家具中有害物质限量</w:t>
      </w:r>
    </w:p>
    <w:p w14:paraId="5601BB47">
      <w:pPr>
        <w:pStyle w:val="56"/>
        <w:ind w:firstLine="420"/>
      </w:pPr>
      <w:r>
        <w:t>GB/T 29769 废弃电子电气产品回收利用术语</w:t>
      </w:r>
    </w:p>
    <w:p w14:paraId="1DDE49B4">
      <w:pPr>
        <w:pStyle w:val="56"/>
        <w:ind w:firstLine="420"/>
      </w:pPr>
      <w:r>
        <w:t>GB/T 30760 水泥窑协同处置固体废物技术规范</w:t>
      </w:r>
    </w:p>
    <w:p w14:paraId="1DBD9FBA">
      <w:pPr>
        <w:pStyle w:val="56"/>
        <w:ind w:firstLine="420"/>
      </w:pPr>
      <w:r>
        <w:t>GB 31574 再生铜、铝、铅、锌工业污染物排放标准</w:t>
      </w:r>
    </w:p>
    <w:p w14:paraId="75901445">
      <w:pPr>
        <w:pStyle w:val="56"/>
        <w:ind w:firstLine="420"/>
      </w:pPr>
      <w:r>
        <w:t>GB/T 32357 废弃电器电子产品回收处理污染控制导则</w:t>
      </w:r>
    </w:p>
    <w:p w14:paraId="00F1A36F">
      <w:pPr>
        <w:pStyle w:val="56"/>
        <w:ind w:firstLine="420"/>
      </w:pPr>
      <w:r>
        <w:t>GB 37822 挥发性有机物无组织排放控制标准</w:t>
      </w:r>
    </w:p>
    <w:p w14:paraId="6E3B11EA">
      <w:pPr>
        <w:pStyle w:val="56"/>
        <w:ind w:firstLine="420"/>
      </w:pPr>
      <w:r>
        <w:t>GBZ 2.1 工作场所有害因素职业接触限值 第1部分：化学有害因素</w:t>
      </w:r>
    </w:p>
    <w:p w14:paraId="17DC337D">
      <w:pPr>
        <w:pStyle w:val="56"/>
        <w:ind w:firstLine="420"/>
      </w:pPr>
      <w:r>
        <w:t>HJ/T 176 危险废物集中焚烧处置工程建设技术规范</w:t>
      </w:r>
    </w:p>
    <w:p w14:paraId="67FF33F8">
      <w:pPr>
        <w:pStyle w:val="56"/>
        <w:ind w:firstLine="420"/>
      </w:pPr>
      <w:r>
        <w:t>HJ 298 危险废物鉴别技术规范</w:t>
      </w:r>
    </w:p>
    <w:p w14:paraId="0F70588F">
      <w:pPr>
        <w:pStyle w:val="56"/>
        <w:ind w:firstLine="420"/>
      </w:pPr>
      <w:r>
        <w:t>HJ 527 废弃电器电子产品处理污染控制技术规范</w:t>
      </w:r>
    </w:p>
    <w:p w14:paraId="29E6C342">
      <w:pPr>
        <w:pStyle w:val="56"/>
        <w:ind w:firstLine="420"/>
      </w:pPr>
      <w:r>
        <w:t>HJ 557 固体废物浸出毒性浸出方法水平振荡法</w:t>
      </w:r>
    </w:p>
    <w:p w14:paraId="0FCC6FA6">
      <w:pPr>
        <w:pStyle w:val="56"/>
        <w:ind w:firstLine="420"/>
      </w:pPr>
      <w:r>
        <w:t>HJ 702 固体废物 汞、砷、硒、铋、锑的测定 微波消解原子荧光法</w:t>
      </w:r>
    </w:p>
    <w:p w14:paraId="7B785E54">
      <w:pPr>
        <w:pStyle w:val="56"/>
        <w:ind w:firstLine="420"/>
      </w:pPr>
      <w:r>
        <w:t>HJ 749 固体废物 总铬的测定 火焰原子吸收分光光度法</w:t>
      </w:r>
    </w:p>
    <w:p w14:paraId="0E66B0BC">
      <w:pPr>
        <w:pStyle w:val="56"/>
        <w:ind w:firstLine="420"/>
      </w:pPr>
      <w:r>
        <w:t>HJ 781 固体废物 22种金属元素的测定 电感耦合等离子体发射光谱法</w:t>
      </w:r>
    </w:p>
    <w:p w14:paraId="0F3A0D11">
      <w:pPr>
        <w:pStyle w:val="56"/>
        <w:ind w:firstLine="420"/>
      </w:pPr>
      <w:r>
        <w:t>HJ 786 固体废物 铅、锌和镉的测定 火焰原子吸收分光光度法</w:t>
      </w:r>
    </w:p>
    <w:p w14:paraId="005AF017">
      <w:pPr>
        <w:pStyle w:val="56"/>
        <w:ind w:firstLine="420"/>
      </w:pPr>
      <w:r>
        <w:t>HJ 1034 排污许可证申请与核发技术规范 废弃资源加工工业</w:t>
      </w:r>
    </w:p>
    <w:p w14:paraId="718C4952">
      <w:pPr>
        <w:pStyle w:val="56"/>
        <w:ind w:firstLine="420"/>
      </w:pPr>
      <w:r>
        <w:t>HJ 1091 固体废物再生利用污染防治技术导则</w:t>
      </w:r>
    </w:p>
    <w:p w14:paraId="00512B66">
      <w:pPr>
        <w:pStyle w:val="56"/>
        <w:ind w:firstLine="420"/>
      </w:pPr>
      <w:r>
        <w:t>HJ 1250 排污单位自行监测技术指南 工业固体废物和危险废物治理</w:t>
      </w:r>
    </w:p>
    <w:p w14:paraId="1761D5BA">
      <w:pPr>
        <w:pStyle w:val="56"/>
        <w:ind w:firstLine="420"/>
      </w:pPr>
      <w:r>
        <w:t>HJ 1259 危险废物管理计划和管理台账制定技术导则</w:t>
      </w:r>
    </w:p>
    <w:p w14:paraId="59A89638">
      <w:pPr>
        <w:pStyle w:val="56"/>
        <w:ind w:firstLine="420"/>
      </w:pPr>
      <w:r>
        <w:t>HJ 1276 危险废物识别标志设置技术规范</w:t>
      </w:r>
    </w:p>
    <w:p w14:paraId="09B2C00D">
      <w:pPr>
        <w:pStyle w:val="56"/>
        <w:ind w:firstLine="420"/>
      </w:pPr>
      <w:r>
        <w:t>HJ 2025 危险废物收集、贮存、运输技术规范</w:t>
      </w:r>
    </w:p>
    <w:p w14:paraId="592ECCDE">
      <w:pPr>
        <w:pStyle w:val="56"/>
        <w:ind w:firstLine="420"/>
      </w:pPr>
      <w:r>
        <w:t>HJ 2042 危险废物处置工程技术导则</w:t>
      </w:r>
    </w:p>
    <w:p w14:paraId="668C107E">
      <w:pPr>
        <w:pStyle w:val="104"/>
        <w:spacing w:before="312" w:after="312"/>
      </w:pPr>
      <w:bookmarkStart w:id="46" w:name="_Toc162950311"/>
      <w:bookmarkStart w:id="47" w:name="_Toc97191425"/>
      <w:r>
        <w:rPr>
          <w:rFonts w:hint="eastAsia"/>
          <w:szCs w:val="21"/>
        </w:rPr>
        <w:t>术语和定义</w:t>
      </w:r>
      <w:bookmarkEnd w:id="46"/>
      <w:bookmarkEnd w:id="47"/>
    </w:p>
    <w:sdt>
      <w:sdtPr>
        <w:id w:val="-1909835108"/>
        <w:placeholder>
          <w:docPart w:val="FBB2DC9D03ED4EFD95775B8CD414BD1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52B7DFE">
          <w:pPr>
            <w:pStyle w:val="56"/>
            <w:ind w:firstLine="420"/>
          </w:pPr>
          <w:bookmarkStart w:id="48" w:name="_Toc26986532"/>
          <w:bookmarkEnd w:id="48"/>
          <w:r>
            <w:t>GB/T 29769界定的以及下列术语和定义适用于本文件。</w:t>
          </w:r>
        </w:p>
      </w:sdtContent>
    </w:sdt>
    <w:p w14:paraId="4F846A40">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废电路板 waste printed circuit board</w:t>
      </w:r>
    </w:p>
    <w:p w14:paraId="35208601">
      <w:pPr>
        <w:pStyle w:val="56"/>
        <w:ind w:firstLine="420"/>
      </w:pPr>
      <w:r>
        <w:t>在生产、生活和其它活动中产生的丧失原有利用价值或者虽未丧失利用价值但被抛弃或放弃的电路板，包括边角料、残次品、废弃电器电子产品拆解产生</w:t>
      </w:r>
      <w:r>
        <w:rPr>
          <w:rFonts w:hint="eastAsia"/>
        </w:rPr>
        <w:t>。</w:t>
      </w:r>
    </w:p>
    <w:p w14:paraId="52C0D339">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综合利用 comprehensive utilization</w:t>
      </w:r>
    </w:p>
    <w:p w14:paraId="452AC5E7">
      <w:pPr>
        <w:pStyle w:val="56"/>
        <w:ind w:firstLine="420"/>
      </w:pPr>
      <w:r>
        <w:t>从废电路板中回收有价金属和其他材料，实现废电路板资源化利用和无害化处置的过程。</w:t>
      </w:r>
    </w:p>
    <w:p w14:paraId="784FFD22">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拆解 dismantling</w:t>
      </w:r>
    </w:p>
    <w:p w14:paraId="0F4DAE80">
      <w:pPr>
        <w:pStyle w:val="56"/>
        <w:ind w:firstLine="420"/>
      </w:pPr>
      <w:r>
        <w:t>含有多种电子元器件的废电路板拆除电子元器件的过程。</w:t>
      </w:r>
    </w:p>
    <w:p w14:paraId="1CAB69D8">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破碎 crushing</w:t>
      </w:r>
    </w:p>
    <w:p w14:paraId="0E700A7F">
      <w:pPr>
        <w:pStyle w:val="56"/>
        <w:ind w:firstLine="420"/>
      </w:pPr>
      <w:r>
        <w:t>利用外力克服废电路板质点间的内聚力而使大块分裂成小块的过程。</w:t>
      </w:r>
    </w:p>
    <w:p w14:paraId="6CE98720">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分选 sorting</w:t>
      </w:r>
    </w:p>
    <w:p w14:paraId="1DD36DF2">
      <w:pPr>
        <w:pStyle w:val="56"/>
        <w:ind w:firstLine="420"/>
      </w:pPr>
      <w:r>
        <w:t>根据废电路板中各物料的物理性质的差异，通过不同方法将金属和非金属进行分离。</w:t>
      </w:r>
    </w:p>
    <w:p w14:paraId="62E5B2BD">
      <w:pPr>
        <w:pStyle w:val="224"/>
        <w:ind w:left="420" w:hanging="420" w:hangingChars="200"/>
        <w:rPr>
          <w:rFonts w:ascii="黑体" w:hAnsi="黑体" w:eastAsia="黑体"/>
        </w:rPr>
      </w:pPr>
      <w:r>
        <w:rPr>
          <w:rFonts w:ascii="黑体" w:hAnsi="黑体" w:eastAsia="黑体"/>
        </w:rPr>
        <w:br w:type="textWrapping"/>
      </w:r>
      <w:r>
        <w:rPr>
          <w:rFonts w:ascii="黑体" w:hAnsi="黑体" w:eastAsia="黑体"/>
        </w:rPr>
        <w:t>机械分选 mechanical separation</w:t>
      </w:r>
    </w:p>
    <w:p w14:paraId="353D0389">
      <w:pPr>
        <w:pStyle w:val="56"/>
        <w:ind w:firstLine="420"/>
      </w:pPr>
      <w:r>
        <w:t>废电路板机械破碎后，利用其材料的密度、导电性和磁性等物理特性进行分选的过程。包括干法分选和湿法分选。</w:t>
      </w:r>
    </w:p>
    <w:p w14:paraId="4A998ADC">
      <w:pPr>
        <w:pStyle w:val="224"/>
        <w:ind w:left="420" w:hanging="420" w:hangingChars="200"/>
        <w:rPr>
          <w:rFonts w:ascii="黑体" w:hAnsi="黑体" w:eastAsia="黑体"/>
        </w:rPr>
      </w:pPr>
      <w:r>
        <w:rPr>
          <w:rFonts w:ascii="黑体" w:hAnsi="黑体" w:eastAsia="黑体"/>
        </w:rPr>
        <w:br w:type="textWrapping"/>
      </w:r>
      <w:r>
        <w:rPr>
          <w:rFonts w:ascii="黑体" w:hAnsi="黑体" w:eastAsia="黑体"/>
        </w:rPr>
        <w:t>干法分选 separation in dry</w:t>
      </w:r>
    </w:p>
    <w:p w14:paraId="6E1F6FDB">
      <w:pPr>
        <w:pStyle w:val="56"/>
        <w:ind w:firstLine="420"/>
      </w:pPr>
      <w:r>
        <w:t>将废电路板原料，在不加湿的条件下进行破碎后，利用材料之间的特定物理属性的差别，例如密度、铁磁性以及电导率的差别，将不同特性的材料相互分离，以便于再生利用和处置的过程。</w:t>
      </w:r>
    </w:p>
    <w:p w14:paraId="6751A8A0">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废树脂粉 waste resin powder</w:t>
      </w:r>
    </w:p>
    <w:p w14:paraId="3C20081D">
      <w:pPr>
        <w:pStyle w:val="56"/>
        <w:ind w:firstLine="420"/>
      </w:pPr>
      <w:r>
        <w:t>不含元器件或拆除元器件后的废电路板，经破碎、分选后得到的以树脂为主体的物料。</w:t>
      </w:r>
    </w:p>
    <w:p w14:paraId="32802960">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废树脂粉材料化 waste resin powder resource utilization</w:t>
      </w:r>
    </w:p>
    <w:p w14:paraId="5F46EB20">
      <w:pPr>
        <w:pStyle w:val="56"/>
        <w:ind w:firstLine="420"/>
      </w:pPr>
      <w:r>
        <w:t>将废树脂粉与其他有机材料或无机材料、助剂等按一定比例加工成产品的利用方式。</w:t>
      </w:r>
    </w:p>
    <w:p w14:paraId="01A8903B">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高温热处理 heat treatment</w:t>
      </w:r>
    </w:p>
    <w:p w14:paraId="3F2DFAF9">
      <w:pPr>
        <w:pStyle w:val="56"/>
        <w:ind w:firstLine="420"/>
      </w:pPr>
      <w:r>
        <w:t>利用焚烧、热解、熔炼等工艺使废电路板中金属和非金属物质分离，从中回收金属的过程。</w:t>
      </w:r>
    </w:p>
    <w:p w14:paraId="67088842">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协同处置 co-processing</w:t>
      </w:r>
    </w:p>
    <w:p w14:paraId="2E521D11">
      <w:pPr>
        <w:pStyle w:val="56"/>
        <w:ind w:firstLine="420"/>
      </w:pPr>
      <w:r>
        <w:t>利用企业现有的高温工业窑炉（如冶炼炉、水泥窑以及回转窑等）将废电路板与其他原料协同处理，在满足企业正常生产要求、保证产品质量与环境安全的同时，实现废电路板的资源化利用和无害化处置的过程。</w:t>
      </w:r>
    </w:p>
    <w:p w14:paraId="049714B8">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利用产物 utilization products</w:t>
      </w:r>
    </w:p>
    <w:p w14:paraId="27703568">
      <w:pPr>
        <w:pStyle w:val="56"/>
        <w:ind w:firstLine="420"/>
      </w:pPr>
      <w:r>
        <w:t>在废电路板综合利用过程中产生的具有再次利用价值的产物。</w:t>
      </w:r>
    </w:p>
    <w:p w14:paraId="2D066077">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新建企业 new facility</w:t>
      </w:r>
    </w:p>
    <w:p w14:paraId="1A260F84">
      <w:pPr>
        <w:pStyle w:val="56"/>
        <w:ind w:firstLine="420"/>
      </w:pPr>
      <w:r>
        <w:t>自本文件实施之日起环境影响评价文件通过审批的新建、改建和扩建废电路板综合利用企业。</w:t>
      </w:r>
    </w:p>
    <w:p w14:paraId="2D70184A">
      <w:pPr>
        <w:pStyle w:val="104"/>
        <w:spacing w:before="312" w:after="312"/>
      </w:pPr>
      <w:bookmarkStart w:id="49" w:name="_Toc161996561"/>
      <w:bookmarkEnd w:id="49"/>
      <w:bookmarkStart w:id="50" w:name="_Toc162950312"/>
      <w:r>
        <w:t>总体要求</w:t>
      </w:r>
      <w:bookmarkEnd w:id="50"/>
    </w:p>
    <w:p w14:paraId="538B8D3D">
      <w:pPr>
        <w:pStyle w:val="105"/>
        <w:spacing w:before="156" w:after="156"/>
      </w:pPr>
      <w:bookmarkStart w:id="51" w:name="_Toc161996562"/>
      <w:bookmarkEnd w:id="51"/>
      <w:bookmarkStart w:id="52" w:name="_Toc162950313"/>
      <w:r>
        <w:t>一般要求</w:t>
      </w:r>
      <w:bookmarkEnd w:id="52"/>
    </w:p>
    <w:p w14:paraId="4772A50E">
      <w:pPr>
        <w:pStyle w:val="165"/>
      </w:pPr>
      <w:r>
        <w:t>从事废电路板综合利用经营活动的企业应取得相应的危险废物经营许可证。</w:t>
      </w:r>
    </w:p>
    <w:p w14:paraId="2420F297">
      <w:pPr>
        <w:pStyle w:val="165"/>
      </w:pPr>
      <w:r>
        <w:rPr>
          <w:rFonts w:hint="eastAsia"/>
        </w:rPr>
        <w:t>企业应遵循生态环境安全优先的原则，控制废电路板利用处置过程中的环境安全和人体健康风险。</w:t>
      </w:r>
    </w:p>
    <w:p w14:paraId="6C781EC9">
      <w:pPr>
        <w:pStyle w:val="165"/>
      </w:pPr>
      <w:r>
        <w:t>企业应根据服务区域产业特点、废电路板的产生情况、社会经济发展水平、城市总体规划、技术的先进性等方面，确定项目选址、建设规模和工艺技术。</w:t>
      </w:r>
    </w:p>
    <w:p w14:paraId="46DA0D41">
      <w:pPr>
        <w:pStyle w:val="165"/>
      </w:pPr>
      <w:r>
        <w:rPr>
          <w:rFonts w:hint="eastAsia"/>
        </w:rPr>
        <w:t>企业应配备检测分析设备和专业人员，具备对铜、铅、镉、铬、汞等重金属元素的检测能力。</w:t>
      </w:r>
    </w:p>
    <w:p w14:paraId="6D673E69">
      <w:pPr>
        <w:pStyle w:val="165"/>
      </w:pPr>
      <w:r>
        <w:t>新建的废电路板利用企业年处理能力（首期规模）宜不小于10000</w:t>
      </w:r>
      <w:r>
        <w:rPr>
          <w:rFonts w:hint="eastAsia"/>
        </w:rPr>
        <w:t>吨</w:t>
      </w:r>
      <w:r>
        <w:t>。</w:t>
      </w:r>
    </w:p>
    <w:p w14:paraId="3AE680D5">
      <w:pPr>
        <w:pStyle w:val="105"/>
        <w:spacing w:before="156" w:after="156"/>
      </w:pPr>
      <w:bookmarkStart w:id="53" w:name="_Toc161996563"/>
      <w:bookmarkEnd w:id="53"/>
      <w:bookmarkStart w:id="54" w:name="_Toc162950314"/>
      <w:r>
        <w:t>选址要求</w:t>
      </w:r>
      <w:bookmarkEnd w:id="54"/>
    </w:p>
    <w:p w14:paraId="52E36F02">
      <w:pPr>
        <w:pStyle w:val="165"/>
      </w:pPr>
      <w:r>
        <w:t>选址应符合</w:t>
      </w:r>
      <w:r>
        <w:rPr>
          <w:rFonts w:hint="eastAsia"/>
        </w:rPr>
        <w:t>国土空间规划、</w:t>
      </w:r>
      <w:r>
        <w:t>生态环境保护法律法规及相关</w:t>
      </w:r>
      <w:r>
        <w:rPr>
          <w:rFonts w:hint="eastAsia"/>
        </w:rPr>
        <w:t>标准的</w:t>
      </w:r>
      <w:r>
        <w:t>要求，</w:t>
      </w:r>
      <w:r>
        <w:rPr>
          <w:rFonts w:hint="eastAsia"/>
        </w:rPr>
        <w:t>选择地质结构稳定且不易发生洪水、滑坡、泥石流等自然灾害的区域</w:t>
      </w:r>
      <w:r>
        <w:t>。</w:t>
      </w:r>
    </w:p>
    <w:p w14:paraId="48EBEABE">
      <w:pPr>
        <w:pStyle w:val="165"/>
      </w:pPr>
      <w:r>
        <w:t>企业建设选址应符合国家相关标准的要求，不应位于国务院和国务院有关主管部门及在生态保护红线区域、永久基本农田集中区域和其他需要特别保护的区域内。</w:t>
      </w:r>
    </w:p>
    <w:p w14:paraId="4F777B99">
      <w:pPr>
        <w:pStyle w:val="165"/>
      </w:pPr>
      <w:r>
        <w:rPr>
          <w:rFonts w:hint="eastAsia"/>
        </w:rPr>
        <w:t>企业宜优先选址于电路板生产、废旧电器电子拆解企业的工业园区或工业集聚区</w:t>
      </w:r>
      <w:r>
        <w:t>。</w:t>
      </w:r>
    </w:p>
    <w:p w14:paraId="0EF52DDF">
      <w:pPr>
        <w:pStyle w:val="105"/>
        <w:spacing w:before="156" w:after="156"/>
      </w:pPr>
      <w:bookmarkStart w:id="55" w:name="_Toc161996564"/>
      <w:bookmarkEnd w:id="55"/>
      <w:bookmarkStart w:id="56" w:name="_Toc162950315"/>
      <w:r>
        <w:t>工艺技术和设备设施要求</w:t>
      </w:r>
      <w:bookmarkEnd w:id="56"/>
    </w:p>
    <w:p w14:paraId="57DCBFDC">
      <w:pPr>
        <w:pStyle w:val="165"/>
      </w:pPr>
      <w:r>
        <w:t>企业</w:t>
      </w:r>
      <w:r>
        <w:rPr>
          <w:rFonts w:hint="eastAsia"/>
        </w:rPr>
        <w:t>采用的废电路板利用处置工艺应符合GB/T 44157等相关国家标准的要求，采用成熟可靠、节能环保的技术和工艺。</w:t>
      </w:r>
    </w:p>
    <w:p w14:paraId="2C465885">
      <w:pPr>
        <w:pStyle w:val="165"/>
      </w:pPr>
      <w:r>
        <w:t>企业宜采用干法分选</w:t>
      </w:r>
      <w:r>
        <w:rPr>
          <w:rFonts w:hint="eastAsia"/>
        </w:rPr>
        <w:t>、湿法分选</w:t>
      </w:r>
      <w:r>
        <w:t>和高温热处理工艺，不应采用露天焚烧、简单酸浸、冲天炉焚烧等工艺。</w:t>
      </w:r>
    </w:p>
    <w:p w14:paraId="6206D3C4">
      <w:pPr>
        <w:pStyle w:val="165"/>
      </w:pPr>
      <w:r>
        <w:t>采用水力摇床等湿法分选的废电路板综合利用企业，宜接收利用废覆铜板、含铜钻孔粉、边角料和报废印刷电路板，不应接收已拆除或未拆除元器件的废电路板。</w:t>
      </w:r>
    </w:p>
    <w:p w14:paraId="39046A43">
      <w:pPr>
        <w:pStyle w:val="165"/>
      </w:pPr>
      <w:r>
        <w:t>企业应采用自动上料、自动输送设备</w:t>
      </w:r>
      <w:r>
        <w:rPr>
          <w:rFonts w:hint="eastAsia"/>
        </w:rPr>
        <w:t>等自动化程度较高的设备</w:t>
      </w:r>
      <w:r>
        <w:t>。</w:t>
      </w:r>
    </w:p>
    <w:p w14:paraId="5BDD1845">
      <w:pPr>
        <w:pStyle w:val="165"/>
      </w:pPr>
      <w:r>
        <w:t>干法分选应采用重力分选、风力分选、静电分选等多级组合技术。</w:t>
      </w:r>
    </w:p>
    <w:p w14:paraId="5ED27175">
      <w:pPr>
        <w:pStyle w:val="105"/>
        <w:spacing w:before="156" w:after="156"/>
      </w:pPr>
      <w:bookmarkStart w:id="57" w:name="_Toc161996565"/>
      <w:bookmarkEnd w:id="57"/>
      <w:bookmarkStart w:id="58" w:name="_Toc162950316"/>
      <w:r>
        <w:t>污染防治要求</w:t>
      </w:r>
      <w:bookmarkEnd w:id="58"/>
    </w:p>
    <w:p w14:paraId="43FEA7BF">
      <w:pPr>
        <w:pStyle w:val="165"/>
      </w:pPr>
      <w:r>
        <w:t>企业应根据利用工艺类型采取有效的污染防治措施，确保污染物达标排放和环境安全。</w:t>
      </w:r>
    </w:p>
    <w:p w14:paraId="5F187DF9">
      <w:pPr>
        <w:pStyle w:val="165"/>
      </w:pPr>
      <w:r>
        <w:t>企业应定期对废电路板综合利用设施、设备运行状况进行检测和维护，确保其能够正常稳定运行，消除环境安全隐患。</w:t>
      </w:r>
    </w:p>
    <w:p w14:paraId="10E43BCC">
      <w:pPr>
        <w:pStyle w:val="105"/>
        <w:spacing w:before="156" w:after="156"/>
      </w:pPr>
      <w:bookmarkStart w:id="59" w:name="_Toc161996566"/>
      <w:bookmarkEnd w:id="59"/>
      <w:bookmarkStart w:id="60" w:name="_Toc162950317"/>
      <w:r>
        <w:t>技术人员要求</w:t>
      </w:r>
      <w:bookmarkEnd w:id="60"/>
    </w:p>
    <w:p w14:paraId="16B99CBE">
      <w:pPr>
        <w:pStyle w:val="165"/>
      </w:pPr>
      <w:r>
        <w:t>企业应配备3名以上环境工程专业或者</w:t>
      </w:r>
      <w:r>
        <w:rPr>
          <w:rFonts w:hint="eastAsia"/>
        </w:rPr>
        <w:t>化工、冶炼</w:t>
      </w:r>
      <w:r>
        <w:t>相关专业中级以上职称，并有3年以上固体废物污染治理经历的技术人员。</w:t>
      </w:r>
    </w:p>
    <w:p w14:paraId="0AF5286A">
      <w:pPr>
        <w:pStyle w:val="165"/>
      </w:pPr>
      <w:r>
        <w:t>企业应设置污染控制监控部门，应有环境保护相关专业知识和技能的专职人员，负责检查、督促、落实本单位危险废物污染环境防治工作，应具有经过培训的技术人员、分析测试人员、管理人员和相应数量的操作人员。</w:t>
      </w:r>
    </w:p>
    <w:p w14:paraId="77D43DD5">
      <w:pPr>
        <w:pStyle w:val="104"/>
        <w:spacing w:before="312" w:after="312"/>
      </w:pPr>
      <w:bookmarkStart w:id="61" w:name="_Toc161996567"/>
      <w:bookmarkEnd w:id="61"/>
      <w:bookmarkStart w:id="62" w:name="_Toc162950318"/>
      <w:r>
        <w:t>废电路板收集、运输、贮存技术要求</w:t>
      </w:r>
      <w:bookmarkEnd w:id="62"/>
    </w:p>
    <w:p w14:paraId="15867B11">
      <w:pPr>
        <w:pStyle w:val="105"/>
        <w:spacing w:before="156" w:after="156"/>
      </w:pPr>
      <w:bookmarkStart w:id="63" w:name="_Toc161996568"/>
      <w:bookmarkEnd w:id="63"/>
      <w:bookmarkStart w:id="64" w:name="_Toc162950319"/>
      <w:r>
        <w:t>收集</w:t>
      </w:r>
      <w:bookmarkEnd w:id="64"/>
    </w:p>
    <w:p w14:paraId="51C10042">
      <w:pPr>
        <w:pStyle w:val="165"/>
      </w:pPr>
      <w:r>
        <w:rPr>
          <w:rFonts w:hint="eastAsia"/>
        </w:rPr>
        <w:t>企业应对废电路板进行成分检测，</w:t>
      </w:r>
      <w:r>
        <w:t>根据</w:t>
      </w:r>
      <w:r>
        <w:rPr>
          <w:rFonts w:hint="eastAsia"/>
        </w:rPr>
        <w:t>废线路板是否含有电子元器件分类收集</w:t>
      </w:r>
      <w:r>
        <w:t>，推进废电路板的合理、有效收集。</w:t>
      </w:r>
    </w:p>
    <w:p w14:paraId="1BF92DC7">
      <w:pPr>
        <w:pStyle w:val="165"/>
      </w:pPr>
      <w:r>
        <w:t>企业应有符合国家或者地方环境保护标准要求的包装工具，包装容器应满足防雨、防渗漏、防遗撒的要求且应粘贴符合GB 18597所要求的危险废物标签，标签信息应与包装物内实际情况相符。</w:t>
      </w:r>
    </w:p>
    <w:p w14:paraId="2BCB88AF">
      <w:pPr>
        <w:pStyle w:val="165"/>
      </w:pPr>
      <w:r>
        <w:t>企业应核实所接受废电路板与转移联单信息相符性，收集过程应保留产生单位粘贴的原始包装物标签。</w:t>
      </w:r>
    </w:p>
    <w:p w14:paraId="330FFD90">
      <w:pPr>
        <w:pStyle w:val="165"/>
      </w:pPr>
      <w:r>
        <w:t>收集、转移过程中不应擅自拆解、破碎、丢弃废电路板。</w:t>
      </w:r>
    </w:p>
    <w:p w14:paraId="7A48D3EC">
      <w:pPr>
        <w:pStyle w:val="165"/>
      </w:pPr>
      <w:r>
        <w:t>废电路板收集应采取必要的防范措施，避免可能造成的人身伤害和环境污染的事故。</w:t>
      </w:r>
    </w:p>
    <w:p w14:paraId="5A62D477">
      <w:pPr>
        <w:pStyle w:val="105"/>
        <w:spacing w:before="156" w:after="156"/>
      </w:pPr>
      <w:bookmarkStart w:id="65" w:name="_Toc161996569"/>
      <w:bookmarkEnd w:id="65"/>
      <w:bookmarkStart w:id="66" w:name="_Toc162950320"/>
      <w:r>
        <w:t>运输</w:t>
      </w:r>
      <w:bookmarkEnd w:id="66"/>
    </w:p>
    <w:p w14:paraId="210042A0">
      <w:pPr>
        <w:pStyle w:val="165"/>
      </w:pPr>
      <w:r>
        <w:t>企业应建立和执行危险废物发货、装载和接收的查验、登记、核准制度，利用电子转移联单监控危险废物流向。</w:t>
      </w:r>
    </w:p>
    <w:p w14:paraId="7D4FA41C">
      <w:pPr>
        <w:pStyle w:val="165"/>
      </w:pPr>
      <w:r>
        <w:t>危险废物运输应符合HJ 2025</w:t>
      </w:r>
      <w:r>
        <w:rPr>
          <w:rFonts w:hint="eastAsia"/>
        </w:rPr>
        <w:t>及危险废物转移管理要求</w:t>
      </w:r>
      <w:r>
        <w:t>，废电路板、废树脂粉在满足《国家危险废物名录》中相应豁免条件下，运输环节实行豁免管理。</w:t>
      </w:r>
    </w:p>
    <w:p w14:paraId="43BA1826">
      <w:pPr>
        <w:pStyle w:val="165"/>
      </w:pPr>
      <w:r>
        <w:t>废电路板运输单位应制定应急预案并随车配备应急救援物资。宜对运输车辆驾驶员和押运人员进行危险废物和应急救援方面的培训，包括防火、防泄漏以及应急联络等。</w:t>
      </w:r>
    </w:p>
    <w:p w14:paraId="11E4EE92">
      <w:pPr>
        <w:pStyle w:val="105"/>
        <w:spacing w:before="156" w:after="156"/>
      </w:pPr>
      <w:bookmarkStart w:id="67" w:name="_Toc161996570"/>
      <w:bookmarkEnd w:id="67"/>
      <w:bookmarkStart w:id="68" w:name="_Toc162950321"/>
      <w:r>
        <w:t>贮存</w:t>
      </w:r>
      <w:bookmarkEnd w:id="68"/>
    </w:p>
    <w:p w14:paraId="7F8E2B13">
      <w:pPr>
        <w:pStyle w:val="165"/>
      </w:pPr>
      <w:r>
        <w:t>企业应按照GB 18597的要求建设并管理废电路板及利用过程中新产生危险废物的贮存设施，应按照HJ 1276的要求设置标志，配备通讯设备、照明设施和消防设施。</w:t>
      </w:r>
    </w:p>
    <w:p w14:paraId="0A0B831A">
      <w:pPr>
        <w:pStyle w:val="165"/>
      </w:pPr>
      <w:r>
        <w:t>企业应根据危险废物种类和特性进行分区、分类贮存，设置防雨、防火、防雷、防扬散装置。</w:t>
      </w:r>
    </w:p>
    <w:p w14:paraId="3DEAE926">
      <w:pPr>
        <w:pStyle w:val="165"/>
      </w:pPr>
      <w:r>
        <w:t>贮存设施周转的累积贮存量不应超出许可贮存设施的最大贮存量。废电路板及利用过程中新产生危险废物的贮存时间均不应超过1年</w:t>
      </w:r>
      <w:r>
        <w:rPr>
          <w:rFonts w:hint="eastAsia"/>
        </w:rPr>
        <w:t>；确需延长期限的，应当报经颁发许可证的生态环境主管部门批准；法律、行政法规另有规定的除外。</w:t>
      </w:r>
    </w:p>
    <w:p w14:paraId="7225554C">
      <w:pPr>
        <w:pStyle w:val="165"/>
      </w:pPr>
      <w:r>
        <w:t>企业应建立健全符合HJ 1259的危险废物管理台账制度，台账记录上须注明危险废物的名称、来源、数量、特性和入库日期、存放库位、废物出库利用日期及接收单位名称。台账保存时间不少于10 年。</w:t>
      </w:r>
    </w:p>
    <w:p w14:paraId="42E38047">
      <w:pPr>
        <w:pStyle w:val="104"/>
        <w:spacing w:before="312" w:after="312"/>
      </w:pPr>
      <w:bookmarkStart w:id="69" w:name="_Toc161996571"/>
      <w:bookmarkEnd w:id="69"/>
      <w:bookmarkStart w:id="70" w:name="_Toc162950322"/>
      <w:r>
        <w:t>废电路板综合利用污染控制技术要求</w:t>
      </w:r>
      <w:bookmarkEnd w:id="70"/>
    </w:p>
    <w:p w14:paraId="7CA74565">
      <w:pPr>
        <w:pStyle w:val="105"/>
        <w:spacing w:before="156" w:after="156"/>
      </w:pPr>
      <w:bookmarkStart w:id="71" w:name="_Toc161996572"/>
      <w:bookmarkEnd w:id="71"/>
      <w:bookmarkStart w:id="72" w:name="_Toc162950323"/>
      <w:r>
        <w:t>分析测试要求</w:t>
      </w:r>
      <w:bookmarkEnd w:id="72"/>
    </w:p>
    <w:p w14:paraId="506C3DFC">
      <w:pPr>
        <w:pStyle w:val="165"/>
      </w:pPr>
      <w:r>
        <w:t>接收已拆除或未拆除电子元器件的废电路板、报废印刷电路板的企业，应具备铜、铅、镉、铬、汞等主要重金属元素的检测能力；采用高温热处理的企业，应具备铜、铅、镉、铬、汞、溴、氯等元素的检测能力；仅接收电路板生产过程中的废覆铜板和边角料的企业，应具备铜等重金属元素的检测分析能力。</w:t>
      </w:r>
    </w:p>
    <w:p w14:paraId="0415C9FF">
      <w:pPr>
        <w:pStyle w:val="165"/>
      </w:pPr>
      <w:r>
        <w:t>企业应配备至少1名具有分析测试相关专业技术水平的人员从事分析测试工作。</w:t>
      </w:r>
    </w:p>
    <w:p w14:paraId="7714E700">
      <w:pPr>
        <w:pStyle w:val="165"/>
      </w:pPr>
      <w:r>
        <w:t>企业应建立完善的入厂分析记录台账，按照</w:t>
      </w:r>
      <w:r>
        <w:rPr>
          <w:rFonts w:hint="eastAsia"/>
        </w:rPr>
        <w:t>“</w:t>
      </w:r>
      <w:r>
        <w:t>一厂一档</w:t>
      </w:r>
      <w:r>
        <w:rPr>
          <w:rFonts w:hint="eastAsia"/>
        </w:rPr>
        <w:t>”</w:t>
      </w:r>
      <w:r>
        <w:t>方式建立数据档案，与经营情况记录簿同时存档，数据应保存10年以上。</w:t>
      </w:r>
    </w:p>
    <w:p w14:paraId="3EBF2BD4">
      <w:pPr>
        <w:pStyle w:val="105"/>
        <w:spacing w:before="156" w:after="156"/>
      </w:pPr>
      <w:bookmarkStart w:id="73" w:name="_Toc161996573"/>
      <w:bookmarkEnd w:id="73"/>
      <w:bookmarkStart w:id="74" w:name="_Toc162950324"/>
      <w:r>
        <w:t>工艺环节污染控制要求</w:t>
      </w:r>
      <w:bookmarkEnd w:id="74"/>
    </w:p>
    <w:p w14:paraId="428250D7">
      <w:pPr>
        <w:pStyle w:val="65"/>
        <w:spacing w:before="156" w:after="156"/>
      </w:pPr>
      <w:r>
        <w:t>拆解</w:t>
      </w:r>
    </w:p>
    <w:p w14:paraId="3ED92529">
      <w:pPr>
        <w:pStyle w:val="164"/>
      </w:pPr>
      <w:r>
        <w:t>含有电子元器件的废电路板宜采用机械切割、红外加热、激光加热、空气加热等方式进行拆解，拆除的附着物（如电缆、塑料、大块铝件、电子元器件和焊料等）应分类收集，规范利用或处置。</w:t>
      </w:r>
    </w:p>
    <w:p w14:paraId="73EE4806">
      <w:pPr>
        <w:pStyle w:val="164"/>
      </w:pPr>
      <w:r>
        <w:t>拆解车间或作业区应采用负压设计，控制拆解脱除电子元器件过程中废气的无组织排放。</w:t>
      </w:r>
    </w:p>
    <w:p w14:paraId="3AB9E428">
      <w:pPr>
        <w:pStyle w:val="164"/>
      </w:pPr>
      <w:r>
        <w:rPr>
          <w:rFonts w:hint="eastAsia"/>
        </w:rPr>
        <w:t>拆解产生的元器件应按种类、重量或数量及其流向进行详细记录，做好台账管理。</w:t>
      </w:r>
    </w:p>
    <w:p w14:paraId="47D3B7E9">
      <w:pPr>
        <w:pStyle w:val="56"/>
        <w:ind w:firstLine="420"/>
      </w:pPr>
      <w:r>
        <w:t xml:space="preserve"> </w:t>
      </w:r>
    </w:p>
    <w:p w14:paraId="0DF81639">
      <w:pPr>
        <w:pStyle w:val="65"/>
        <w:spacing w:before="156" w:after="156"/>
      </w:pPr>
      <w:r>
        <w:t>破碎</w:t>
      </w:r>
    </w:p>
    <w:p w14:paraId="143C7DBC">
      <w:pPr>
        <w:pStyle w:val="164"/>
      </w:pPr>
      <w:r>
        <w:t>应使用高效节能且具备减噪防震功能的设备破碎废电路板，设备安全性应满足GB 18452要求，产生粉尘和有毒有害气体的作业区应采取有效收集处理和污染防治措施，保证作业区粉尘、有害气体浓度符合GBZ 2.1的要求。</w:t>
      </w:r>
    </w:p>
    <w:p w14:paraId="0782FA63">
      <w:pPr>
        <w:pStyle w:val="164"/>
      </w:pPr>
      <w:r>
        <w:t>干式破碎时产生的废气、粉尘等收集后应传送至废气处理系统，破碎过程应进行负压设计，合理确定除尘系统风速、风量、风压、尺寸等各项参数。</w:t>
      </w:r>
    </w:p>
    <w:p w14:paraId="408EA378">
      <w:pPr>
        <w:pStyle w:val="164"/>
      </w:pPr>
      <w:r>
        <w:t>采用湿式破碎时废水应收集处理，破碎后的物料应采取必要处理充分脱水。</w:t>
      </w:r>
    </w:p>
    <w:p w14:paraId="3320E005">
      <w:pPr>
        <w:pStyle w:val="164"/>
      </w:pPr>
      <w:r>
        <w:rPr>
          <w:rFonts w:hint="eastAsia"/>
        </w:rPr>
        <w:t>分选工艺宜采用重力、风力、静电等不同分选工艺组合的多级分选技术，提高工艺分选效率，实现废电路板中各种材料的有效分离。</w:t>
      </w:r>
    </w:p>
    <w:p w14:paraId="5117686A">
      <w:pPr>
        <w:pStyle w:val="56"/>
        <w:ind w:firstLine="420"/>
      </w:pPr>
      <w:r>
        <w:t xml:space="preserve"> </w:t>
      </w:r>
    </w:p>
    <w:p w14:paraId="4C0B8DEB">
      <w:pPr>
        <w:pStyle w:val="65"/>
        <w:spacing w:before="156" w:after="156"/>
      </w:pPr>
      <w:r>
        <w:t>分选</w:t>
      </w:r>
    </w:p>
    <w:p w14:paraId="29C0BC2F">
      <w:pPr>
        <w:pStyle w:val="164"/>
      </w:pPr>
      <w:r>
        <w:t>废电路板破碎料干式分离应采用重力分选、静电分选等多级组合技术，或采用多级摇床湿式分离技术。采用干式分离技术或湿式分离技术，铜分选率应≥90%。</w:t>
      </w:r>
    </w:p>
    <w:p w14:paraId="58CE1232">
      <w:pPr>
        <w:pStyle w:val="164"/>
      </w:pPr>
      <w:r>
        <w:t>重力分选、静电分选应选择高效节能设备。</w:t>
      </w:r>
    </w:p>
    <w:p w14:paraId="2F252DBF">
      <w:pPr>
        <w:pStyle w:val="164"/>
      </w:pPr>
      <w:r>
        <w:t>采用干法分选的，物料输送及物料转运应保持密闭。</w:t>
      </w:r>
    </w:p>
    <w:p w14:paraId="53F2DAF1">
      <w:pPr>
        <w:pStyle w:val="164"/>
      </w:pPr>
      <w:r>
        <w:t>每个分选设施的出料口应设置收集容器，妥善收集各类物料，采取有效措施控制物料遗撒。</w:t>
      </w:r>
    </w:p>
    <w:p w14:paraId="3544E47D">
      <w:pPr>
        <w:pStyle w:val="164"/>
      </w:pPr>
      <w:r>
        <w:t>采用水力摇床等湿法分选的，应采取有效污染防治措施确保废水循环利用。</w:t>
      </w:r>
    </w:p>
    <w:p w14:paraId="41174819">
      <w:pPr>
        <w:pStyle w:val="164"/>
      </w:pPr>
      <w:r>
        <w:t>含铜钻孔粉宜进入采用水力摇床等的湿法分选系统，进行机械分选处理。</w:t>
      </w:r>
    </w:p>
    <w:p w14:paraId="0C471FF0">
      <w:pPr>
        <w:pStyle w:val="164"/>
      </w:pPr>
      <w:r>
        <w:t>水力摇床等湿法分选产生的废树脂粉，应采用离心、压滤等方式进行脱水，废树脂粉出厂含水率不应超过20％。</w:t>
      </w:r>
    </w:p>
    <w:p w14:paraId="5269C4A5">
      <w:pPr>
        <w:pStyle w:val="65"/>
        <w:spacing w:before="156" w:after="156"/>
      </w:pPr>
      <w:r>
        <w:t>高温热处理</w:t>
      </w:r>
    </w:p>
    <w:p w14:paraId="2EAFADBF">
      <w:pPr>
        <w:pStyle w:val="164"/>
      </w:pPr>
      <w:r>
        <w:t>废电路板高温热处理过程应符合 HJ 2042 的要求，其工艺设计及运行管理等应符合 HJ/T 176的要求，应使用密封性好且有自动监测功能的成套设备，主体设备应包括热解炉、热解气焚烧炉以及相匹配的废气处理设施（喷淋、冷却、脱硝、除尘等）。</w:t>
      </w:r>
    </w:p>
    <w:p w14:paraId="05D951EC">
      <w:pPr>
        <w:pStyle w:val="164"/>
      </w:pPr>
      <w:r>
        <w:t xml:space="preserve">热处理废电路板时，应控制在无氧或氧气浓度小于1%的条件下进行，热解气在焚烧炉内停留时间不少于2 S，温度应不低于1100 </w:t>
      </w:r>
      <w:r>
        <w:rPr>
          <w:rFonts w:hint="eastAsia" w:hAnsi="宋体" w:cs="宋体"/>
        </w:rPr>
        <w:t>℃</w:t>
      </w:r>
      <w:r>
        <w:t>，焚烧后的废气应采用废气处理设施进一步处理，控制二嗯英等污染物产生、排放。</w:t>
      </w:r>
    </w:p>
    <w:p w14:paraId="10037913">
      <w:pPr>
        <w:pStyle w:val="164"/>
      </w:pPr>
      <w:r>
        <w:t>宜采用静电捕集、重力捕集等技术捕集热解挥发分，宜采用高效碱洗工艺处理热解气，热解气脱卤率（附录A）不低于99 %。</w:t>
      </w:r>
    </w:p>
    <w:p w14:paraId="1DAE3E28">
      <w:pPr>
        <w:pStyle w:val="164"/>
      </w:pPr>
      <w:r>
        <w:t>废电路板热解率（附录A）不低于 98%，热解渣可进入下一步冶金工艺环节。</w:t>
      </w:r>
    </w:p>
    <w:p w14:paraId="52AB4A7B">
      <w:pPr>
        <w:pStyle w:val="65"/>
        <w:spacing w:before="156" w:after="156"/>
      </w:pPr>
      <w:r>
        <w:t>火法冶金</w:t>
      </w:r>
    </w:p>
    <w:p w14:paraId="04193C9D">
      <w:pPr>
        <w:pStyle w:val="164"/>
      </w:pPr>
      <w:r>
        <w:t>废电路板火法冶金宜采用顶吹熔池熔炼技术或侧吹熔池熔炼技术，主要设施包括冶炼炉（澳炉或艾萨炉或侧吹炉等)、废气处理设施（喷淋、冷却、脱硝、除尘等）和辅助设施。</w:t>
      </w:r>
    </w:p>
    <w:p w14:paraId="1E15ED1F">
      <w:pPr>
        <w:pStyle w:val="164"/>
      </w:pPr>
      <w:r>
        <w:t>采用火法冶金处理废电路板时，应根据实际情况选择适宜的废电路板与其他含铜物料的搭配比例，冶炼温度不低于1150</w:t>
      </w:r>
      <w:r>
        <w:rPr>
          <w:rFonts w:hint="eastAsia" w:hAnsi="宋体" w:cs="宋体"/>
        </w:rPr>
        <w:t>℃</w:t>
      </w:r>
      <w:r>
        <w:t>；废电路板需进行破碎造粒的，宜先磁选去除废铁后再进行破碎、造粒。</w:t>
      </w:r>
    </w:p>
    <w:p w14:paraId="600CDB1A">
      <w:pPr>
        <w:pStyle w:val="164"/>
      </w:pPr>
      <w:r>
        <w:t>火法冶金过程产生的废气应进一步采用废气处理设施处理，控制二嗯英、溴化氢等污染物排放。</w:t>
      </w:r>
    </w:p>
    <w:p w14:paraId="299CCA53">
      <w:pPr>
        <w:pStyle w:val="65"/>
        <w:spacing w:before="156" w:after="156"/>
      </w:pPr>
      <w:r>
        <w:t>湿法冶金</w:t>
      </w:r>
    </w:p>
    <w:p w14:paraId="398C0465">
      <w:pPr>
        <w:pStyle w:val="164"/>
      </w:pPr>
      <w:r>
        <w:t>废电路板湿法冶金主要包括铜的电解精炼和阳极泥的贵金属再生，应选用节能设备和清洁生产工艺，湿法冶金过程产生的废气应集中收集、处理。</w:t>
      </w:r>
    </w:p>
    <w:p w14:paraId="501A80FF">
      <w:pPr>
        <w:pStyle w:val="164"/>
      </w:pPr>
      <w:r>
        <w:t>阳极泥经浸出、萃取、反萃、置换、还原等处理后，再生回收金、银、铂、钯等贵金属。贵金属再生过程应选择低毒无害的浸提剂、萃取剂，严禁使用国家明确禁止的化学品，药剂输送宜使用密封管道、自动化成套装备。</w:t>
      </w:r>
    </w:p>
    <w:p w14:paraId="03ABC2D5">
      <w:pPr>
        <w:pStyle w:val="105"/>
        <w:spacing w:before="156" w:after="156"/>
      </w:pPr>
      <w:bookmarkStart w:id="75" w:name="_Toc161996574"/>
      <w:bookmarkEnd w:id="75"/>
      <w:bookmarkStart w:id="76" w:name="_Toc162950325"/>
      <w:r>
        <w:t>末端污染控制要求</w:t>
      </w:r>
      <w:bookmarkEnd w:id="76"/>
    </w:p>
    <w:p w14:paraId="227D5BAE">
      <w:pPr>
        <w:pStyle w:val="65"/>
        <w:spacing w:before="156" w:after="156"/>
      </w:pPr>
      <w:r>
        <w:t>大气污染控制</w:t>
      </w:r>
    </w:p>
    <w:p w14:paraId="291E37BF">
      <w:pPr>
        <w:pStyle w:val="164"/>
      </w:pPr>
      <w:r>
        <w:t>拆解过程产生的废气应经过负压收集，采用喷淋、活性炭吸附等方式确保铅及其化合物、锡及其化合物、颗粒物等符合 GB 16297 规定的排放浓度限值要求。</w:t>
      </w:r>
    </w:p>
    <w:p w14:paraId="34A6943B">
      <w:pPr>
        <w:pStyle w:val="164"/>
      </w:pPr>
      <w:r>
        <w:t>分选产生的粉尘应经过有效收集，采用旋风除尘、布袋除尘或静电除尘等方式实现废气中污染物达标排放，颗粒物应符合 GB 16297 规定的排放浓度限制要求。</w:t>
      </w:r>
    </w:p>
    <w:p w14:paraId="4A12750D">
      <w:pPr>
        <w:pStyle w:val="164"/>
      </w:pPr>
      <w:r>
        <w:t>高温热处理法产生的废气，应配备完善的尾气治理设施，经净化处理后废气中污染物应符合GB 9078、GB 18484 规定的排放浓度限值要求。</w:t>
      </w:r>
    </w:p>
    <w:p w14:paraId="36A73FA0">
      <w:pPr>
        <w:pStyle w:val="164"/>
      </w:pPr>
      <w:r>
        <w:t>火法冶金冶炼炉产生的废气，应配备完善的尾气治理设施，有效控制二</w:t>
      </w:r>
      <w:r>
        <w:rPr>
          <w:rFonts w:hint="eastAsia"/>
        </w:rPr>
        <w:t>噁英排放，经净化处理后废气中污染物应符合</w:t>
      </w:r>
      <w:r>
        <w:t xml:space="preserve"> GB 9078、GB 18484、GB 25467、GB 31574 规定的排放浓度限值要求。</w:t>
      </w:r>
    </w:p>
    <w:p w14:paraId="36A810C1">
      <w:pPr>
        <w:pStyle w:val="65"/>
        <w:spacing w:before="156" w:after="156"/>
      </w:pPr>
      <w:r>
        <w:t>无组织排放污染控制</w:t>
      </w:r>
    </w:p>
    <w:p w14:paraId="30FF70C5">
      <w:pPr>
        <w:pStyle w:val="164"/>
      </w:pPr>
      <w:r>
        <w:t>企业厂区内及厂界无组织挥发性有机污染物和粉尘应符合 GB 37822、GB 16297 规定的限值要求。</w:t>
      </w:r>
    </w:p>
    <w:p w14:paraId="397C497E">
      <w:pPr>
        <w:pStyle w:val="164"/>
      </w:pPr>
      <w:r>
        <w:t>破碎、干法分选各物料出口应控制出料过程中粉尘的无组织排放。</w:t>
      </w:r>
    </w:p>
    <w:p w14:paraId="70A8F11D">
      <w:pPr>
        <w:pStyle w:val="164"/>
      </w:pPr>
      <w:r>
        <w:t>采用水力摇床等湿法分选的企业，应控制含铜钻孔粉在卸料、进料过程中粉尘的无组织排放。</w:t>
      </w:r>
    </w:p>
    <w:p w14:paraId="4671FAB9">
      <w:pPr>
        <w:pStyle w:val="65"/>
        <w:spacing w:before="156" w:after="156"/>
      </w:pPr>
      <w:r>
        <w:t>噪声污染控制</w:t>
      </w:r>
    </w:p>
    <w:p w14:paraId="22B16D19">
      <w:pPr>
        <w:pStyle w:val="164"/>
      </w:pPr>
      <w:r>
        <w:t>破碎机、分选机和风机等机械设备，应采取减振、降噪措施。</w:t>
      </w:r>
    </w:p>
    <w:p w14:paraId="09BDB981">
      <w:pPr>
        <w:pStyle w:val="164"/>
      </w:pPr>
      <w:r>
        <w:t>搬运、手工拆解和车辆运输等非机械噪声产生环节，应采取可减少固体振动和碰撞过程噪声的管理措施。</w:t>
      </w:r>
    </w:p>
    <w:p w14:paraId="672FEA17">
      <w:pPr>
        <w:pStyle w:val="164"/>
      </w:pPr>
      <w:r>
        <w:t>企业厂界噪声应符合 GB 12348 的要求。</w:t>
      </w:r>
    </w:p>
    <w:p w14:paraId="5C613D95">
      <w:pPr>
        <w:pStyle w:val="65"/>
        <w:spacing w:before="156" w:after="156"/>
      </w:pPr>
      <w:r>
        <w:t>新产生危险废物污染控制</w:t>
      </w:r>
    </w:p>
    <w:p w14:paraId="30B2A067">
      <w:pPr>
        <w:pStyle w:val="164"/>
      </w:pPr>
      <w:r>
        <w:t>拆解产生的废电子元器件列入《国家危险废物名录》的，应按照危险废物环境管理要求进行管理。未列入《国家危险废物名录》的，按照 GB 5085.7 中要求进行危险特性鉴别后，属于危险废物的，应交由有资质单位利用或处置。</w:t>
      </w:r>
    </w:p>
    <w:p w14:paraId="4F49997C">
      <w:pPr>
        <w:pStyle w:val="164"/>
      </w:pPr>
      <w:r>
        <w:t>废树脂粉应按照危险废物进行管理，宜优先进行利用。不可利用的，应交有资质单位处置，或在满足《国家危险废物名录》中相应豁免条件下，实行豁免管理。</w:t>
      </w:r>
    </w:p>
    <w:p w14:paraId="7CEE4983">
      <w:pPr>
        <w:pStyle w:val="164"/>
      </w:pPr>
      <w:r>
        <w:t>鼓励利用废树脂粉制备防火阻燃材料，可用于制备结构构造围护防护类、户外场地、市政园林景观类等建筑材料，不宜将废树脂粉与水泥直接混合后制备行道砖，不应制作与人体直接接触的制品或材料。</w:t>
      </w:r>
    </w:p>
    <w:p w14:paraId="3B0273C6">
      <w:pPr>
        <w:pStyle w:val="164"/>
      </w:pPr>
      <w:r>
        <w:t>高温热处理产生的废金属满足《国家危险废物名录》豁免要求，可委托金属冶炼企业利用，飞灰应委托有资质单位进行处置。</w:t>
      </w:r>
    </w:p>
    <w:p w14:paraId="431DD694">
      <w:pPr>
        <w:pStyle w:val="164"/>
      </w:pPr>
      <w:r>
        <w:t>企业应对新产生危险废物的产生、贮存、利用数量及去向进行详细记录，数据材料应保存10年以上。</w:t>
      </w:r>
    </w:p>
    <w:p w14:paraId="2150908F">
      <w:pPr>
        <w:pStyle w:val="104"/>
        <w:spacing w:before="312" w:after="312"/>
      </w:pPr>
      <w:bookmarkStart w:id="77" w:name="_Toc161996575"/>
      <w:bookmarkEnd w:id="77"/>
      <w:bookmarkStart w:id="78" w:name="_Toc162950326"/>
      <w:r>
        <w:t>利用产物控制要求</w:t>
      </w:r>
      <w:bookmarkEnd w:id="78"/>
    </w:p>
    <w:p w14:paraId="4E0CE477">
      <w:pPr>
        <w:pStyle w:val="105"/>
        <w:spacing w:before="156" w:after="156"/>
      </w:pPr>
      <w:bookmarkStart w:id="79" w:name="_Toc161996576"/>
      <w:bookmarkEnd w:id="79"/>
      <w:bookmarkStart w:id="80" w:name="_Toc162950327"/>
      <w:r>
        <w:t>一般要求</w:t>
      </w:r>
      <w:bookmarkEnd w:id="80"/>
    </w:p>
    <w:p w14:paraId="53647D52">
      <w:pPr>
        <w:pStyle w:val="165"/>
      </w:pPr>
      <w:r>
        <w:t>企业应建立包括利用时间，利用产物名称、数量、流向和用途等内容的台账记录，做好月度和年度汇总工作。利用产物台账保存时间不少于10 年。</w:t>
      </w:r>
    </w:p>
    <w:p w14:paraId="2E20D21F">
      <w:pPr>
        <w:pStyle w:val="165"/>
      </w:pPr>
      <w:r>
        <w:t>企业应核实以利用产物为原、辅料进行生产单位的资质和能力，跟踪利用产物的使用和利用处置情况。</w:t>
      </w:r>
    </w:p>
    <w:p w14:paraId="76398956">
      <w:pPr>
        <w:pStyle w:val="165"/>
      </w:pPr>
      <w:r>
        <w:t>利用产物进入市场，应在包装袋醒目处设置产品标签，标签上应注明生产厂家名称、来源、主要组分等信息。</w:t>
      </w:r>
    </w:p>
    <w:p w14:paraId="69A05055">
      <w:pPr>
        <w:pStyle w:val="105"/>
        <w:spacing w:before="156" w:after="156"/>
      </w:pPr>
      <w:bookmarkStart w:id="81" w:name="_Toc161996577"/>
      <w:bookmarkEnd w:id="81"/>
      <w:bookmarkStart w:id="82" w:name="_Toc162950328"/>
      <w:r>
        <w:t>铜粉的控制要求</w:t>
      </w:r>
      <w:bookmarkEnd w:id="82"/>
    </w:p>
    <w:p w14:paraId="3DB0FC51">
      <w:pPr>
        <w:pStyle w:val="165"/>
      </w:pPr>
      <w:r>
        <w:t>机械分选提取的铜粉，应采取定向方式销售给金属冶炼企业或再生铜企业，应对每批次铜粉中铜的质量分数进行检测，铜的质量分数不应低于 80％，铜的质量分数测定按照 GB/T 15249.3 的方法进行。</w:t>
      </w:r>
    </w:p>
    <w:p w14:paraId="5EF07571">
      <w:pPr>
        <w:pStyle w:val="165"/>
      </w:pPr>
      <w:r>
        <w:t>使用废电路板利用产物铜粉的金属冶炼企业或再生铜企业应配套尾气处理系统，尾气中污染物应符合 GB 9078、GB 18484、GB 25467、GB 31574 规定的排放浓度限值要求，并对尾气中二</w:t>
      </w:r>
      <w:r>
        <w:rPr>
          <w:rFonts w:hint="eastAsia"/>
        </w:rPr>
        <w:t>噁英类污染物每年至少开展</w:t>
      </w:r>
      <w:r>
        <w:t>2 次监测。</w:t>
      </w:r>
    </w:p>
    <w:p w14:paraId="59A21B05">
      <w:pPr>
        <w:pStyle w:val="105"/>
        <w:spacing w:before="156" w:after="156"/>
      </w:pPr>
      <w:bookmarkStart w:id="83" w:name="_Toc161996578"/>
      <w:bookmarkEnd w:id="83"/>
      <w:bookmarkStart w:id="84" w:name="_Toc162950329"/>
      <w:r>
        <w:t>废树脂粉材料化控制要求</w:t>
      </w:r>
      <w:bookmarkEnd w:id="84"/>
    </w:p>
    <w:p w14:paraId="5A807936">
      <w:pPr>
        <w:pStyle w:val="165"/>
      </w:pPr>
      <w:r>
        <w:t>废树脂粉材料化利用前，应对每批利用的废树脂粉中重金属的含量（如铅、镉、铬、汞）进行检测，重金属的限值与检测方法按表1 规定的执行。预处理经多级分选充分回收金属、去除杂质。废树脂粉预处理产物含水率应低于3%，树脂与玻璃纤维含量应不低于98%。应控制废树脂粉预处理产物中的重金属浸出浓度。废树脂粉预处理产物按照HJ 557方法制备浸出液，其中重金属的浸出浓度应不超过GB 8978中规定的最高允许排放浓度限值（第二类污染物最高允许排放浓度按照一级标准执行）。</w:t>
      </w:r>
    </w:p>
    <w:p w14:paraId="07CEB2C3">
      <w:pPr>
        <w:pStyle w:val="112"/>
        <w:spacing w:before="156" w:after="156"/>
      </w:pPr>
      <w:r>
        <w:t>废树脂粉中主要重金属含量限值</w:t>
      </w:r>
    </w:p>
    <w:tbl>
      <w:tblPr>
        <w:tblStyle w:val="2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840"/>
        <w:gridCol w:w="2841"/>
        <w:gridCol w:w="2841"/>
      </w:tblGrid>
      <w:tr w14:paraId="20FA04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2840" w:type="dxa"/>
            <w:tcBorders>
              <w:top w:val="single" w:color="auto" w:sz="8" w:space="0"/>
              <w:left w:val="nil"/>
              <w:bottom w:val="single" w:color="auto" w:sz="8" w:space="0"/>
              <w:right w:val="nil"/>
            </w:tcBorders>
            <w:shd w:val="clear" w:color="auto" w:fill="auto"/>
            <w:vAlign w:val="center"/>
          </w:tcPr>
          <w:p w14:paraId="138B85B6">
            <w:pPr>
              <w:pStyle w:val="56"/>
              <w:ind w:firstLine="361"/>
              <w:rPr>
                <w:b/>
                <w:bCs/>
                <w:sz w:val="18"/>
              </w:rPr>
            </w:pPr>
            <w:r>
              <w:rPr>
                <w:b/>
                <w:bCs/>
                <w:sz w:val="18"/>
              </w:rPr>
              <w:t>重金属</w:t>
            </w:r>
          </w:p>
        </w:tc>
        <w:tc>
          <w:tcPr>
            <w:tcW w:w="2841" w:type="dxa"/>
            <w:tcBorders>
              <w:top w:val="single" w:color="auto" w:sz="8" w:space="0"/>
              <w:left w:val="nil"/>
              <w:bottom w:val="single" w:color="auto" w:sz="8" w:space="0"/>
              <w:right w:val="nil"/>
            </w:tcBorders>
            <w:shd w:val="clear" w:color="auto" w:fill="auto"/>
            <w:vAlign w:val="center"/>
          </w:tcPr>
          <w:p w14:paraId="46B83C00">
            <w:pPr>
              <w:pStyle w:val="56"/>
              <w:ind w:firstLine="361"/>
              <w:rPr>
                <w:b/>
                <w:bCs/>
                <w:sz w:val="18"/>
              </w:rPr>
            </w:pPr>
            <w:r>
              <w:rPr>
                <w:b/>
                <w:bCs/>
                <w:sz w:val="18"/>
              </w:rPr>
              <w:t>限值（mg/kg）</w:t>
            </w:r>
          </w:p>
        </w:tc>
        <w:tc>
          <w:tcPr>
            <w:tcW w:w="2841" w:type="dxa"/>
            <w:tcBorders>
              <w:top w:val="single" w:color="auto" w:sz="8" w:space="0"/>
              <w:left w:val="nil"/>
              <w:bottom w:val="single" w:color="auto" w:sz="8" w:space="0"/>
              <w:right w:val="nil"/>
            </w:tcBorders>
            <w:shd w:val="clear" w:color="auto" w:fill="auto"/>
            <w:vAlign w:val="center"/>
          </w:tcPr>
          <w:p w14:paraId="18EF13C6">
            <w:pPr>
              <w:pStyle w:val="56"/>
              <w:ind w:firstLine="361"/>
              <w:rPr>
                <w:b/>
                <w:bCs/>
                <w:sz w:val="18"/>
              </w:rPr>
            </w:pPr>
            <w:r>
              <w:rPr>
                <w:b/>
                <w:bCs/>
                <w:sz w:val="18"/>
              </w:rPr>
              <w:t>检测方法</w:t>
            </w:r>
          </w:p>
        </w:tc>
      </w:tr>
      <w:tr w14:paraId="12863E7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2840" w:type="dxa"/>
            <w:tcBorders>
              <w:top w:val="single" w:color="auto" w:sz="8" w:space="0"/>
              <w:left w:val="nil"/>
              <w:bottom w:val="nil"/>
              <w:right w:val="nil"/>
            </w:tcBorders>
            <w:shd w:val="clear" w:color="auto" w:fill="auto"/>
            <w:vAlign w:val="center"/>
          </w:tcPr>
          <w:p w14:paraId="26737F55">
            <w:pPr>
              <w:pStyle w:val="56"/>
              <w:ind w:firstLine="360"/>
              <w:rPr>
                <w:sz w:val="18"/>
              </w:rPr>
            </w:pPr>
            <w:r>
              <w:rPr>
                <w:sz w:val="18"/>
              </w:rPr>
              <w:t>铅（Pb）</w:t>
            </w:r>
          </w:p>
        </w:tc>
        <w:tc>
          <w:tcPr>
            <w:tcW w:w="2841" w:type="dxa"/>
            <w:tcBorders>
              <w:top w:val="single" w:color="auto" w:sz="8" w:space="0"/>
              <w:left w:val="nil"/>
              <w:bottom w:val="nil"/>
              <w:right w:val="nil"/>
            </w:tcBorders>
            <w:shd w:val="clear" w:color="auto" w:fill="auto"/>
            <w:vAlign w:val="center"/>
          </w:tcPr>
          <w:p w14:paraId="618E35AC">
            <w:pPr>
              <w:pStyle w:val="56"/>
              <w:ind w:firstLine="360"/>
              <w:rPr>
                <w:sz w:val="18"/>
              </w:rPr>
            </w:pPr>
            <w:r>
              <w:rPr>
                <w:sz w:val="18"/>
              </w:rPr>
              <w:t>≤90</w:t>
            </w:r>
          </w:p>
        </w:tc>
        <w:tc>
          <w:tcPr>
            <w:tcW w:w="2841" w:type="dxa"/>
            <w:tcBorders>
              <w:top w:val="single" w:color="auto" w:sz="8" w:space="0"/>
              <w:left w:val="nil"/>
              <w:bottom w:val="nil"/>
              <w:right w:val="nil"/>
            </w:tcBorders>
            <w:shd w:val="clear" w:color="auto" w:fill="auto"/>
            <w:vAlign w:val="center"/>
          </w:tcPr>
          <w:p w14:paraId="7DB1BAF5">
            <w:pPr>
              <w:pStyle w:val="56"/>
              <w:ind w:firstLine="360"/>
              <w:rPr>
                <w:sz w:val="18"/>
              </w:rPr>
            </w:pPr>
            <w:r>
              <w:rPr>
                <w:sz w:val="18"/>
              </w:rPr>
              <w:t>HJ 781、HJ 786</w:t>
            </w:r>
          </w:p>
        </w:tc>
      </w:tr>
      <w:tr w14:paraId="2E42BD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2840" w:type="dxa"/>
            <w:tcBorders>
              <w:top w:val="nil"/>
              <w:left w:val="nil"/>
              <w:bottom w:val="nil"/>
              <w:right w:val="nil"/>
            </w:tcBorders>
            <w:shd w:val="clear" w:color="auto" w:fill="auto"/>
            <w:vAlign w:val="center"/>
          </w:tcPr>
          <w:p w14:paraId="6CAD7A79">
            <w:pPr>
              <w:pStyle w:val="56"/>
              <w:ind w:firstLine="360"/>
              <w:rPr>
                <w:sz w:val="18"/>
              </w:rPr>
            </w:pPr>
            <w:r>
              <w:rPr>
                <w:sz w:val="18"/>
              </w:rPr>
              <w:t>镉（Cd）</w:t>
            </w:r>
          </w:p>
        </w:tc>
        <w:tc>
          <w:tcPr>
            <w:tcW w:w="2841" w:type="dxa"/>
            <w:tcBorders>
              <w:top w:val="nil"/>
              <w:left w:val="nil"/>
              <w:bottom w:val="nil"/>
              <w:right w:val="nil"/>
            </w:tcBorders>
            <w:shd w:val="clear" w:color="auto" w:fill="auto"/>
            <w:vAlign w:val="center"/>
          </w:tcPr>
          <w:p w14:paraId="24CDC903">
            <w:pPr>
              <w:pStyle w:val="56"/>
              <w:ind w:firstLine="360"/>
              <w:rPr>
                <w:sz w:val="18"/>
              </w:rPr>
            </w:pPr>
            <w:r>
              <w:rPr>
                <w:sz w:val="18"/>
              </w:rPr>
              <w:t>≤75</w:t>
            </w:r>
          </w:p>
        </w:tc>
        <w:tc>
          <w:tcPr>
            <w:tcW w:w="2841" w:type="dxa"/>
            <w:tcBorders>
              <w:top w:val="nil"/>
              <w:left w:val="nil"/>
              <w:bottom w:val="nil"/>
              <w:right w:val="nil"/>
            </w:tcBorders>
            <w:shd w:val="clear" w:color="auto" w:fill="auto"/>
            <w:vAlign w:val="center"/>
          </w:tcPr>
          <w:p w14:paraId="633634A5">
            <w:pPr>
              <w:pStyle w:val="56"/>
              <w:ind w:firstLine="360"/>
              <w:rPr>
                <w:sz w:val="18"/>
              </w:rPr>
            </w:pPr>
            <w:r>
              <w:rPr>
                <w:sz w:val="18"/>
              </w:rPr>
              <w:t>HJ 781、HJ 786</w:t>
            </w:r>
          </w:p>
        </w:tc>
      </w:tr>
      <w:tr w14:paraId="6F9D1D7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2840" w:type="dxa"/>
            <w:tcBorders>
              <w:top w:val="nil"/>
              <w:left w:val="nil"/>
              <w:bottom w:val="nil"/>
              <w:right w:val="nil"/>
            </w:tcBorders>
            <w:shd w:val="clear" w:color="auto" w:fill="auto"/>
            <w:vAlign w:val="center"/>
          </w:tcPr>
          <w:p w14:paraId="05EF9301">
            <w:pPr>
              <w:pStyle w:val="56"/>
              <w:ind w:firstLine="360"/>
              <w:rPr>
                <w:sz w:val="18"/>
              </w:rPr>
            </w:pPr>
            <w:r>
              <w:rPr>
                <w:sz w:val="18"/>
              </w:rPr>
              <w:t>铬（Cr）</w:t>
            </w:r>
          </w:p>
        </w:tc>
        <w:tc>
          <w:tcPr>
            <w:tcW w:w="2841" w:type="dxa"/>
            <w:tcBorders>
              <w:top w:val="nil"/>
              <w:left w:val="nil"/>
              <w:bottom w:val="nil"/>
              <w:right w:val="nil"/>
            </w:tcBorders>
            <w:shd w:val="clear" w:color="auto" w:fill="auto"/>
            <w:vAlign w:val="center"/>
          </w:tcPr>
          <w:p w14:paraId="73B45868">
            <w:pPr>
              <w:pStyle w:val="56"/>
              <w:ind w:firstLine="360"/>
              <w:rPr>
                <w:sz w:val="18"/>
              </w:rPr>
            </w:pPr>
            <w:r>
              <w:rPr>
                <w:sz w:val="18"/>
              </w:rPr>
              <w:t>≤60</w:t>
            </w:r>
          </w:p>
        </w:tc>
        <w:tc>
          <w:tcPr>
            <w:tcW w:w="2841" w:type="dxa"/>
            <w:tcBorders>
              <w:top w:val="nil"/>
              <w:left w:val="nil"/>
              <w:bottom w:val="nil"/>
              <w:right w:val="nil"/>
            </w:tcBorders>
            <w:shd w:val="clear" w:color="auto" w:fill="auto"/>
            <w:vAlign w:val="center"/>
          </w:tcPr>
          <w:p w14:paraId="2B106955">
            <w:pPr>
              <w:pStyle w:val="56"/>
              <w:ind w:firstLine="360"/>
              <w:rPr>
                <w:sz w:val="18"/>
              </w:rPr>
            </w:pPr>
            <w:r>
              <w:rPr>
                <w:sz w:val="18"/>
              </w:rPr>
              <w:t>HJ 781、HJ 749</w:t>
            </w:r>
          </w:p>
        </w:tc>
      </w:tr>
      <w:tr w14:paraId="518E274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2840" w:type="dxa"/>
            <w:tcBorders>
              <w:top w:val="nil"/>
              <w:left w:val="nil"/>
              <w:bottom w:val="single" w:color="auto" w:sz="8" w:space="0"/>
              <w:right w:val="nil"/>
            </w:tcBorders>
            <w:shd w:val="clear" w:color="auto" w:fill="auto"/>
            <w:vAlign w:val="center"/>
          </w:tcPr>
          <w:p w14:paraId="01554C69">
            <w:pPr>
              <w:pStyle w:val="56"/>
              <w:ind w:firstLine="360"/>
              <w:rPr>
                <w:sz w:val="18"/>
              </w:rPr>
            </w:pPr>
            <w:r>
              <w:rPr>
                <w:sz w:val="18"/>
              </w:rPr>
              <w:t>汞（Hg）</w:t>
            </w:r>
          </w:p>
        </w:tc>
        <w:tc>
          <w:tcPr>
            <w:tcW w:w="2841" w:type="dxa"/>
            <w:tcBorders>
              <w:top w:val="nil"/>
              <w:left w:val="nil"/>
              <w:bottom w:val="single" w:color="auto" w:sz="8" w:space="0"/>
              <w:right w:val="nil"/>
            </w:tcBorders>
            <w:shd w:val="clear" w:color="auto" w:fill="auto"/>
            <w:vAlign w:val="center"/>
          </w:tcPr>
          <w:p w14:paraId="65407F95">
            <w:pPr>
              <w:pStyle w:val="56"/>
              <w:ind w:firstLine="360"/>
              <w:rPr>
                <w:sz w:val="18"/>
              </w:rPr>
            </w:pPr>
            <w:r>
              <w:rPr>
                <w:sz w:val="18"/>
              </w:rPr>
              <w:t>≤60</w:t>
            </w:r>
          </w:p>
        </w:tc>
        <w:tc>
          <w:tcPr>
            <w:tcW w:w="2841" w:type="dxa"/>
            <w:tcBorders>
              <w:top w:val="nil"/>
              <w:left w:val="nil"/>
              <w:bottom w:val="single" w:color="auto" w:sz="8" w:space="0"/>
              <w:right w:val="nil"/>
            </w:tcBorders>
            <w:shd w:val="clear" w:color="auto" w:fill="auto"/>
            <w:vAlign w:val="center"/>
          </w:tcPr>
          <w:p w14:paraId="2C7BB112">
            <w:pPr>
              <w:pStyle w:val="56"/>
              <w:ind w:firstLine="360"/>
              <w:rPr>
                <w:sz w:val="18"/>
              </w:rPr>
            </w:pPr>
            <w:r>
              <w:rPr>
                <w:sz w:val="18"/>
              </w:rPr>
              <w:t>HJ 702</w:t>
            </w:r>
          </w:p>
        </w:tc>
      </w:tr>
    </w:tbl>
    <w:p w14:paraId="25FD1061">
      <w:pPr>
        <w:pStyle w:val="165"/>
      </w:pPr>
      <w:r>
        <w:t>经预处理的废树脂粉可作为功能性填料，与木纤维、热塑性树脂、粘合剂等一种或多种改性助剂按一定比例均匀混合，经加工处理制成木塑制品、脂塑制品、树脂板材、玻镁复合材料等再生建材产品。废树脂粉制品或材料应符合 GB 34330 中产品质量及环境安全的相关要求。利用废树脂粉生产建材的，产品除满足国家、地方制定或行业通行的产品质量标准外，其中有害物质含量及浸出限值应执行 HJ 1091 和GB/T 30760 的要求。</w:t>
      </w:r>
    </w:p>
    <w:p w14:paraId="0CC65BE3">
      <w:pPr>
        <w:pStyle w:val="165"/>
      </w:pPr>
      <w:r>
        <w:t>再生建材产品应根据不同应用场景，具备必要的热稳定性、耐腐蚀性等产品特性，产品中有害物质含量应满足表1中的限值要求。VOCs含量、室外应用场景甲醛含量、室外应用场景重金属含量按照GB 18582的规定进行检测，室内应用场景甲醛释放量按照GB18580的规定进行检测，室内应用场景可溶性重金属含量按照GB 28481的规定进行检测，多环芳经类按照GB 28481的规定进行检测。</w:t>
      </w:r>
    </w:p>
    <w:p w14:paraId="2E142113">
      <w:pPr>
        <w:widowControl/>
        <w:adjustRightInd/>
        <w:spacing w:line="240" w:lineRule="auto"/>
        <w:jc w:val="left"/>
        <w:rPr>
          <w:rFonts w:ascii="宋体" w:hAnsi="Times New Roman"/>
          <w:kern w:val="0"/>
          <w:szCs w:val="20"/>
        </w:rPr>
      </w:pPr>
      <w:r>
        <w:br w:type="page"/>
      </w:r>
    </w:p>
    <w:p w14:paraId="4C616D0F">
      <w:pPr>
        <w:pStyle w:val="112"/>
        <w:spacing w:before="156" w:after="156"/>
      </w:pPr>
      <w:r>
        <w:t>再生建材产品有害物质含量限值</w:t>
      </w:r>
    </w:p>
    <w:tbl>
      <w:tblPr>
        <w:tblStyle w:val="27"/>
        <w:tblW w:w="0" w:type="auto"/>
        <w:tblInd w:w="25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835"/>
        <w:gridCol w:w="1843"/>
        <w:gridCol w:w="2064"/>
      </w:tblGrid>
      <w:tr w14:paraId="689C255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678" w:type="dxa"/>
            <w:gridSpan w:val="2"/>
            <w:vMerge w:val="restart"/>
            <w:tcBorders>
              <w:top w:val="single" w:color="auto" w:sz="12" w:space="0"/>
              <w:left w:val="nil"/>
              <w:bottom w:val="nil"/>
              <w:right w:val="nil"/>
            </w:tcBorders>
            <w:vAlign w:val="center"/>
          </w:tcPr>
          <w:p w14:paraId="64242DD6">
            <w:pPr>
              <w:pStyle w:val="56"/>
              <w:ind w:firstLine="420"/>
              <w:jc w:val="center"/>
            </w:pPr>
            <w:r>
              <w:t>项目</w:t>
            </w:r>
          </w:p>
        </w:tc>
        <w:tc>
          <w:tcPr>
            <w:tcW w:w="3594" w:type="dxa"/>
            <w:gridSpan w:val="2"/>
            <w:tcBorders>
              <w:top w:val="single" w:color="auto" w:sz="12" w:space="0"/>
              <w:left w:val="nil"/>
              <w:bottom w:val="single" w:color="auto" w:sz="12" w:space="0"/>
              <w:right w:val="nil"/>
            </w:tcBorders>
            <w:vAlign w:val="center"/>
          </w:tcPr>
          <w:p w14:paraId="44B5A574">
            <w:pPr>
              <w:pStyle w:val="56"/>
              <w:ind w:firstLine="420"/>
              <w:jc w:val="center"/>
            </w:pPr>
            <w:r>
              <w:t>限量值</w:t>
            </w:r>
          </w:p>
        </w:tc>
      </w:tr>
      <w:tr w14:paraId="2B35306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0" w:type="auto"/>
            <w:gridSpan w:val="2"/>
            <w:vMerge w:val="continue"/>
            <w:tcBorders>
              <w:top w:val="single" w:color="auto" w:sz="12" w:space="0"/>
              <w:left w:val="nil"/>
              <w:bottom w:val="nil"/>
              <w:right w:val="nil"/>
            </w:tcBorders>
            <w:vAlign w:val="center"/>
          </w:tcPr>
          <w:p w14:paraId="43E9C4F6">
            <w:pPr>
              <w:pStyle w:val="56"/>
              <w:ind w:firstLine="420"/>
            </w:pPr>
          </w:p>
        </w:tc>
        <w:tc>
          <w:tcPr>
            <w:tcW w:w="1843" w:type="dxa"/>
            <w:tcBorders>
              <w:top w:val="single" w:color="auto" w:sz="12" w:space="0"/>
              <w:left w:val="nil"/>
              <w:bottom w:val="single" w:color="auto" w:sz="12" w:space="0"/>
              <w:right w:val="nil"/>
            </w:tcBorders>
            <w:vAlign w:val="center"/>
          </w:tcPr>
          <w:p w14:paraId="22746DB0">
            <w:pPr>
              <w:pStyle w:val="56"/>
              <w:ind w:firstLine="0" w:firstLineChars="0"/>
              <w:jc w:val="center"/>
            </w:pPr>
            <w:r>
              <w:t>室外应用场景</w:t>
            </w:r>
          </w:p>
        </w:tc>
        <w:tc>
          <w:tcPr>
            <w:tcW w:w="1751" w:type="dxa"/>
            <w:tcBorders>
              <w:top w:val="single" w:color="auto" w:sz="12" w:space="0"/>
              <w:left w:val="nil"/>
              <w:bottom w:val="single" w:color="auto" w:sz="12" w:space="0"/>
              <w:right w:val="nil"/>
            </w:tcBorders>
            <w:vAlign w:val="center"/>
          </w:tcPr>
          <w:p w14:paraId="4DC19274">
            <w:pPr>
              <w:pStyle w:val="56"/>
              <w:ind w:firstLine="420"/>
              <w:jc w:val="center"/>
            </w:pPr>
            <w:r>
              <w:t>室内应用场景</w:t>
            </w:r>
          </w:p>
        </w:tc>
      </w:tr>
      <w:tr w14:paraId="22B990B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678" w:type="dxa"/>
            <w:gridSpan w:val="2"/>
            <w:tcBorders>
              <w:top w:val="single" w:color="auto" w:sz="12" w:space="0"/>
              <w:left w:val="nil"/>
              <w:bottom w:val="nil"/>
              <w:right w:val="nil"/>
            </w:tcBorders>
            <w:vAlign w:val="center"/>
          </w:tcPr>
          <w:p w14:paraId="2B061DBA">
            <w:pPr>
              <w:pStyle w:val="56"/>
              <w:ind w:firstLine="420"/>
              <w:jc w:val="center"/>
            </w:pPr>
            <w:r>
              <w:t>VOCs</w:t>
            </w:r>
          </w:p>
        </w:tc>
        <w:tc>
          <w:tcPr>
            <w:tcW w:w="1843" w:type="dxa"/>
            <w:tcBorders>
              <w:top w:val="single" w:color="auto" w:sz="12" w:space="0"/>
              <w:left w:val="nil"/>
              <w:bottom w:val="nil"/>
              <w:right w:val="nil"/>
            </w:tcBorders>
            <w:vAlign w:val="center"/>
          </w:tcPr>
          <w:p w14:paraId="10AF6057">
            <w:pPr>
              <w:pStyle w:val="56"/>
              <w:ind w:firstLine="420"/>
              <w:jc w:val="center"/>
            </w:pPr>
            <w:r>
              <w:t>≤100/(g/L)</w:t>
            </w:r>
          </w:p>
        </w:tc>
        <w:tc>
          <w:tcPr>
            <w:tcW w:w="1751" w:type="dxa"/>
            <w:tcBorders>
              <w:top w:val="single" w:color="auto" w:sz="12" w:space="0"/>
              <w:left w:val="nil"/>
              <w:bottom w:val="nil"/>
              <w:right w:val="nil"/>
            </w:tcBorders>
            <w:vAlign w:val="center"/>
          </w:tcPr>
          <w:p w14:paraId="0CF767EA">
            <w:pPr>
              <w:pStyle w:val="56"/>
              <w:ind w:firstLine="420"/>
              <w:jc w:val="center"/>
            </w:pPr>
            <w:r>
              <w:t>≤80/(g/L)</w:t>
            </w:r>
          </w:p>
        </w:tc>
      </w:tr>
      <w:tr w14:paraId="02C456E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678" w:type="dxa"/>
            <w:gridSpan w:val="2"/>
            <w:tcBorders>
              <w:top w:val="nil"/>
              <w:left w:val="nil"/>
              <w:bottom w:val="nil"/>
              <w:right w:val="nil"/>
            </w:tcBorders>
            <w:vAlign w:val="center"/>
          </w:tcPr>
          <w:p w14:paraId="6F597BB9">
            <w:pPr>
              <w:pStyle w:val="56"/>
              <w:ind w:firstLine="420"/>
              <w:jc w:val="center"/>
            </w:pPr>
            <w:r>
              <w:t>甲醛</w:t>
            </w:r>
          </w:p>
        </w:tc>
        <w:tc>
          <w:tcPr>
            <w:tcW w:w="1843" w:type="dxa"/>
            <w:tcBorders>
              <w:top w:val="nil"/>
              <w:left w:val="nil"/>
              <w:bottom w:val="nil"/>
              <w:right w:val="nil"/>
            </w:tcBorders>
            <w:vAlign w:val="center"/>
          </w:tcPr>
          <w:p w14:paraId="4484C74A">
            <w:pPr>
              <w:pStyle w:val="56"/>
              <w:ind w:firstLine="420"/>
              <w:jc w:val="center"/>
            </w:pPr>
            <w:r>
              <w:t>≤50/(mg/kg)</w:t>
            </w:r>
          </w:p>
        </w:tc>
        <w:tc>
          <w:tcPr>
            <w:tcW w:w="1751" w:type="dxa"/>
            <w:tcBorders>
              <w:top w:val="nil"/>
              <w:left w:val="nil"/>
              <w:bottom w:val="nil"/>
              <w:right w:val="nil"/>
            </w:tcBorders>
            <w:vAlign w:val="center"/>
          </w:tcPr>
          <w:p w14:paraId="1ADBCE9D">
            <w:pPr>
              <w:pStyle w:val="56"/>
              <w:ind w:firstLine="420"/>
              <w:jc w:val="center"/>
            </w:pPr>
            <w:r>
              <w:t>≤0.124/(mg/m</w:t>
            </w:r>
            <w:r>
              <w:rPr>
                <w:vertAlign w:val="superscript"/>
              </w:rPr>
              <w:t>3</w:t>
            </w:r>
            <w:r>
              <w:t>)</w:t>
            </w:r>
          </w:p>
        </w:tc>
      </w:tr>
      <w:tr w14:paraId="7CA1D5E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843" w:type="dxa"/>
            <w:vMerge w:val="restart"/>
            <w:tcBorders>
              <w:top w:val="nil"/>
              <w:left w:val="nil"/>
              <w:bottom w:val="nil"/>
              <w:right w:val="nil"/>
            </w:tcBorders>
            <w:vAlign w:val="center"/>
          </w:tcPr>
          <w:p w14:paraId="625A2BA5">
            <w:pPr>
              <w:pStyle w:val="56"/>
              <w:ind w:firstLine="0" w:firstLineChars="0"/>
              <w:jc w:val="center"/>
            </w:pPr>
            <w:r>
              <w:t>重金属/(mg/kg)</w:t>
            </w:r>
          </w:p>
        </w:tc>
        <w:tc>
          <w:tcPr>
            <w:tcW w:w="2835" w:type="dxa"/>
            <w:tcBorders>
              <w:top w:val="nil"/>
              <w:left w:val="nil"/>
              <w:bottom w:val="nil"/>
              <w:right w:val="nil"/>
            </w:tcBorders>
            <w:vAlign w:val="center"/>
          </w:tcPr>
          <w:p w14:paraId="09961824">
            <w:pPr>
              <w:pStyle w:val="56"/>
              <w:ind w:firstLine="420"/>
              <w:jc w:val="center"/>
            </w:pPr>
            <w:r>
              <w:t>总铅</w:t>
            </w:r>
          </w:p>
        </w:tc>
        <w:tc>
          <w:tcPr>
            <w:tcW w:w="1843" w:type="dxa"/>
            <w:tcBorders>
              <w:top w:val="nil"/>
              <w:left w:val="nil"/>
              <w:bottom w:val="nil"/>
              <w:right w:val="nil"/>
            </w:tcBorders>
            <w:vAlign w:val="center"/>
          </w:tcPr>
          <w:p w14:paraId="0DF4DDAD">
            <w:pPr>
              <w:pStyle w:val="56"/>
              <w:ind w:firstLine="420"/>
              <w:jc w:val="center"/>
            </w:pPr>
            <w:r>
              <w:t>≤90</w:t>
            </w:r>
          </w:p>
        </w:tc>
        <w:tc>
          <w:tcPr>
            <w:tcW w:w="1751" w:type="dxa"/>
            <w:tcBorders>
              <w:top w:val="nil"/>
              <w:left w:val="nil"/>
              <w:bottom w:val="nil"/>
              <w:right w:val="nil"/>
            </w:tcBorders>
            <w:vAlign w:val="center"/>
          </w:tcPr>
          <w:p w14:paraId="1942F6DE">
            <w:pPr>
              <w:pStyle w:val="56"/>
              <w:ind w:firstLine="420"/>
              <w:jc w:val="center"/>
            </w:pPr>
            <w:r>
              <w:t>—</w:t>
            </w:r>
          </w:p>
        </w:tc>
      </w:tr>
      <w:tr w14:paraId="05DFAA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0" w:type="auto"/>
            <w:vMerge w:val="continue"/>
            <w:tcBorders>
              <w:top w:val="nil"/>
              <w:left w:val="nil"/>
              <w:bottom w:val="nil"/>
              <w:right w:val="nil"/>
            </w:tcBorders>
            <w:vAlign w:val="center"/>
          </w:tcPr>
          <w:p w14:paraId="7AACF9CE">
            <w:pPr>
              <w:pStyle w:val="56"/>
              <w:ind w:firstLine="420"/>
            </w:pPr>
          </w:p>
        </w:tc>
        <w:tc>
          <w:tcPr>
            <w:tcW w:w="2835" w:type="dxa"/>
            <w:tcBorders>
              <w:top w:val="nil"/>
              <w:left w:val="nil"/>
              <w:bottom w:val="nil"/>
              <w:right w:val="nil"/>
            </w:tcBorders>
            <w:vAlign w:val="center"/>
          </w:tcPr>
          <w:p w14:paraId="40BE26AB">
            <w:pPr>
              <w:pStyle w:val="56"/>
              <w:ind w:firstLine="420"/>
              <w:jc w:val="center"/>
            </w:pPr>
            <w:r>
              <w:t>可溶性铅</w:t>
            </w:r>
          </w:p>
        </w:tc>
        <w:tc>
          <w:tcPr>
            <w:tcW w:w="1843" w:type="dxa"/>
            <w:tcBorders>
              <w:top w:val="nil"/>
              <w:left w:val="nil"/>
              <w:bottom w:val="nil"/>
              <w:right w:val="nil"/>
            </w:tcBorders>
            <w:vAlign w:val="center"/>
          </w:tcPr>
          <w:p w14:paraId="6D4124D5">
            <w:pPr>
              <w:pStyle w:val="56"/>
              <w:ind w:firstLine="420"/>
              <w:jc w:val="center"/>
            </w:pPr>
            <w:r>
              <w:t>—</w:t>
            </w:r>
          </w:p>
        </w:tc>
        <w:tc>
          <w:tcPr>
            <w:tcW w:w="1751" w:type="dxa"/>
            <w:tcBorders>
              <w:top w:val="nil"/>
              <w:left w:val="nil"/>
              <w:bottom w:val="nil"/>
              <w:right w:val="nil"/>
            </w:tcBorders>
            <w:vAlign w:val="center"/>
          </w:tcPr>
          <w:p w14:paraId="3B74C0BF">
            <w:pPr>
              <w:pStyle w:val="56"/>
              <w:ind w:firstLine="420"/>
              <w:jc w:val="center"/>
            </w:pPr>
            <w:r>
              <w:t>≤90</w:t>
            </w:r>
          </w:p>
        </w:tc>
      </w:tr>
      <w:tr w14:paraId="5B44CF4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0" w:type="auto"/>
            <w:vMerge w:val="continue"/>
            <w:tcBorders>
              <w:top w:val="nil"/>
              <w:left w:val="nil"/>
              <w:bottom w:val="nil"/>
              <w:right w:val="nil"/>
            </w:tcBorders>
            <w:vAlign w:val="center"/>
          </w:tcPr>
          <w:p w14:paraId="310E5199">
            <w:pPr>
              <w:pStyle w:val="56"/>
              <w:ind w:firstLine="420"/>
            </w:pPr>
          </w:p>
        </w:tc>
        <w:tc>
          <w:tcPr>
            <w:tcW w:w="2835" w:type="dxa"/>
            <w:tcBorders>
              <w:top w:val="nil"/>
              <w:left w:val="nil"/>
              <w:bottom w:val="nil"/>
              <w:right w:val="nil"/>
            </w:tcBorders>
            <w:vAlign w:val="center"/>
          </w:tcPr>
          <w:p w14:paraId="4336B02F">
            <w:pPr>
              <w:pStyle w:val="56"/>
              <w:ind w:firstLine="420"/>
              <w:jc w:val="center"/>
            </w:pPr>
            <w:r>
              <w:t>可溶性镉</w:t>
            </w:r>
          </w:p>
        </w:tc>
        <w:tc>
          <w:tcPr>
            <w:tcW w:w="1843" w:type="dxa"/>
            <w:tcBorders>
              <w:top w:val="nil"/>
              <w:left w:val="nil"/>
              <w:bottom w:val="nil"/>
              <w:right w:val="nil"/>
            </w:tcBorders>
            <w:vAlign w:val="center"/>
          </w:tcPr>
          <w:p w14:paraId="6EFE2D3B">
            <w:pPr>
              <w:pStyle w:val="56"/>
              <w:ind w:firstLine="420"/>
              <w:jc w:val="center"/>
            </w:pPr>
            <w:r>
              <w:t>≤75</w:t>
            </w:r>
          </w:p>
        </w:tc>
        <w:tc>
          <w:tcPr>
            <w:tcW w:w="1751" w:type="dxa"/>
            <w:tcBorders>
              <w:top w:val="nil"/>
              <w:left w:val="nil"/>
              <w:bottom w:val="nil"/>
              <w:right w:val="nil"/>
            </w:tcBorders>
            <w:vAlign w:val="center"/>
          </w:tcPr>
          <w:p w14:paraId="747FB363">
            <w:pPr>
              <w:pStyle w:val="56"/>
              <w:ind w:firstLine="420"/>
              <w:jc w:val="center"/>
            </w:pPr>
            <w:r>
              <w:t>≤75</w:t>
            </w:r>
          </w:p>
        </w:tc>
      </w:tr>
      <w:tr w14:paraId="0774805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0" w:type="auto"/>
            <w:vMerge w:val="continue"/>
            <w:tcBorders>
              <w:top w:val="nil"/>
              <w:left w:val="nil"/>
              <w:bottom w:val="nil"/>
              <w:right w:val="nil"/>
            </w:tcBorders>
            <w:vAlign w:val="center"/>
          </w:tcPr>
          <w:p w14:paraId="1C6C41A2">
            <w:pPr>
              <w:pStyle w:val="56"/>
              <w:ind w:firstLine="420"/>
            </w:pPr>
          </w:p>
        </w:tc>
        <w:tc>
          <w:tcPr>
            <w:tcW w:w="2835" w:type="dxa"/>
            <w:tcBorders>
              <w:top w:val="nil"/>
              <w:left w:val="nil"/>
              <w:bottom w:val="nil"/>
              <w:right w:val="nil"/>
            </w:tcBorders>
            <w:vAlign w:val="center"/>
          </w:tcPr>
          <w:p w14:paraId="6639A018">
            <w:pPr>
              <w:pStyle w:val="56"/>
              <w:ind w:firstLine="420"/>
              <w:jc w:val="center"/>
            </w:pPr>
            <w:r>
              <w:t>可溶性铬</w:t>
            </w:r>
          </w:p>
        </w:tc>
        <w:tc>
          <w:tcPr>
            <w:tcW w:w="1843" w:type="dxa"/>
            <w:tcBorders>
              <w:top w:val="nil"/>
              <w:left w:val="nil"/>
              <w:bottom w:val="nil"/>
              <w:right w:val="nil"/>
            </w:tcBorders>
            <w:vAlign w:val="center"/>
          </w:tcPr>
          <w:p w14:paraId="31CF03E0">
            <w:pPr>
              <w:pStyle w:val="56"/>
              <w:ind w:firstLine="420"/>
              <w:jc w:val="center"/>
            </w:pPr>
            <w:r>
              <w:t>≤60</w:t>
            </w:r>
          </w:p>
        </w:tc>
        <w:tc>
          <w:tcPr>
            <w:tcW w:w="1751" w:type="dxa"/>
            <w:tcBorders>
              <w:top w:val="nil"/>
              <w:left w:val="nil"/>
              <w:bottom w:val="nil"/>
              <w:right w:val="nil"/>
            </w:tcBorders>
            <w:vAlign w:val="center"/>
          </w:tcPr>
          <w:p w14:paraId="2CD960F5">
            <w:pPr>
              <w:pStyle w:val="56"/>
              <w:ind w:firstLine="420"/>
              <w:jc w:val="center"/>
            </w:pPr>
            <w:r>
              <w:t>≤60</w:t>
            </w:r>
          </w:p>
        </w:tc>
      </w:tr>
      <w:tr w14:paraId="0363EE6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0" w:type="auto"/>
            <w:vMerge w:val="continue"/>
            <w:tcBorders>
              <w:top w:val="nil"/>
              <w:left w:val="nil"/>
              <w:bottom w:val="nil"/>
              <w:right w:val="nil"/>
            </w:tcBorders>
            <w:vAlign w:val="center"/>
          </w:tcPr>
          <w:p w14:paraId="07828FB1">
            <w:pPr>
              <w:pStyle w:val="56"/>
              <w:ind w:firstLine="420"/>
            </w:pPr>
          </w:p>
        </w:tc>
        <w:tc>
          <w:tcPr>
            <w:tcW w:w="2835" w:type="dxa"/>
            <w:tcBorders>
              <w:top w:val="nil"/>
              <w:left w:val="nil"/>
              <w:bottom w:val="nil"/>
              <w:right w:val="nil"/>
            </w:tcBorders>
            <w:vAlign w:val="center"/>
          </w:tcPr>
          <w:p w14:paraId="2AC6263E">
            <w:pPr>
              <w:pStyle w:val="56"/>
              <w:ind w:firstLine="420"/>
              <w:jc w:val="center"/>
            </w:pPr>
            <w:r>
              <w:t>可溶性汞</w:t>
            </w:r>
          </w:p>
        </w:tc>
        <w:tc>
          <w:tcPr>
            <w:tcW w:w="1843" w:type="dxa"/>
            <w:tcBorders>
              <w:top w:val="nil"/>
              <w:left w:val="nil"/>
              <w:bottom w:val="nil"/>
              <w:right w:val="nil"/>
            </w:tcBorders>
            <w:vAlign w:val="center"/>
          </w:tcPr>
          <w:p w14:paraId="47437B39">
            <w:pPr>
              <w:pStyle w:val="56"/>
              <w:ind w:firstLine="420"/>
              <w:jc w:val="center"/>
            </w:pPr>
            <w:r>
              <w:t>≤60</w:t>
            </w:r>
          </w:p>
        </w:tc>
        <w:tc>
          <w:tcPr>
            <w:tcW w:w="1751" w:type="dxa"/>
            <w:tcBorders>
              <w:top w:val="nil"/>
              <w:left w:val="nil"/>
              <w:bottom w:val="nil"/>
              <w:right w:val="nil"/>
            </w:tcBorders>
            <w:vAlign w:val="center"/>
          </w:tcPr>
          <w:p w14:paraId="7B283994">
            <w:pPr>
              <w:pStyle w:val="56"/>
              <w:ind w:firstLine="420"/>
              <w:jc w:val="center"/>
            </w:pPr>
            <w:r>
              <w:t>≤60</w:t>
            </w:r>
          </w:p>
        </w:tc>
      </w:tr>
      <w:tr w14:paraId="1E08D47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843" w:type="dxa"/>
            <w:vMerge w:val="restart"/>
            <w:tcBorders>
              <w:top w:val="nil"/>
              <w:left w:val="nil"/>
              <w:bottom w:val="nil"/>
              <w:right w:val="nil"/>
            </w:tcBorders>
            <w:vAlign w:val="center"/>
          </w:tcPr>
          <w:p w14:paraId="17C5676E">
            <w:pPr>
              <w:pStyle w:val="56"/>
              <w:ind w:firstLine="420"/>
            </w:pPr>
            <w:r>
              <w:t>多环芳烃</w:t>
            </w:r>
          </w:p>
        </w:tc>
        <w:tc>
          <w:tcPr>
            <w:tcW w:w="2835" w:type="dxa"/>
            <w:tcBorders>
              <w:top w:val="nil"/>
              <w:left w:val="nil"/>
              <w:bottom w:val="nil"/>
              <w:right w:val="nil"/>
            </w:tcBorders>
            <w:vAlign w:val="center"/>
          </w:tcPr>
          <w:p w14:paraId="100F1F51">
            <w:pPr>
              <w:pStyle w:val="56"/>
              <w:ind w:firstLine="420"/>
              <w:jc w:val="center"/>
            </w:pPr>
            <w:r>
              <w:t>苯并[a]芘</w:t>
            </w:r>
          </w:p>
        </w:tc>
        <w:tc>
          <w:tcPr>
            <w:tcW w:w="3594" w:type="dxa"/>
            <w:gridSpan w:val="2"/>
            <w:tcBorders>
              <w:top w:val="nil"/>
              <w:left w:val="nil"/>
              <w:bottom w:val="nil"/>
              <w:right w:val="nil"/>
            </w:tcBorders>
            <w:vAlign w:val="center"/>
          </w:tcPr>
          <w:p w14:paraId="48EE293D">
            <w:pPr>
              <w:pStyle w:val="56"/>
              <w:ind w:firstLine="420"/>
              <w:jc w:val="center"/>
            </w:pPr>
            <w:r>
              <w:t>≤1.0</w:t>
            </w:r>
          </w:p>
        </w:tc>
      </w:tr>
      <w:tr w14:paraId="5CB05F2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0" w:type="auto"/>
            <w:vMerge w:val="continue"/>
            <w:tcBorders>
              <w:top w:val="nil"/>
              <w:left w:val="nil"/>
              <w:bottom w:val="single" w:color="auto" w:sz="4" w:space="0"/>
              <w:right w:val="nil"/>
            </w:tcBorders>
            <w:vAlign w:val="center"/>
          </w:tcPr>
          <w:p w14:paraId="219F12F1">
            <w:pPr>
              <w:pStyle w:val="56"/>
              <w:ind w:firstLine="420"/>
            </w:pPr>
          </w:p>
        </w:tc>
        <w:tc>
          <w:tcPr>
            <w:tcW w:w="2835" w:type="dxa"/>
            <w:tcBorders>
              <w:top w:val="nil"/>
              <w:left w:val="nil"/>
              <w:bottom w:val="single" w:color="auto" w:sz="4" w:space="0"/>
              <w:right w:val="nil"/>
            </w:tcBorders>
            <w:vAlign w:val="center"/>
          </w:tcPr>
          <w:p w14:paraId="5E3A9111">
            <w:pPr>
              <w:pStyle w:val="56"/>
              <w:ind w:firstLine="420"/>
              <w:jc w:val="center"/>
            </w:pPr>
            <w:r>
              <w:t>16种多环芳烃（PAH）总量</w:t>
            </w:r>
          </w:p>
        </w:tc>
        <w:tc>
          <w:tcPr>
            <w:tcW w:w="3594" w:type="dxa"/>
            <w:gridSpan w:val="2"/>
            <w:tcBorders>
              <w:top w:val="nil"/>
              <w:left w:val="nil"/>
              <w:bottom w:val="single" w:color="auto" w:sz="12" w:space="0"/>
              <w:right w:val="nil"/>
            </w:tcBorders>
            <w:vAlign w:val="center"/>
          </w:tcPr>
          <w:p w14:paraId="63484F6D">
            <w:pPr>
              <w:pStyle w:val="56"/>
              <w:ind w:firstLine="420"/>
              <w:jc w:val="center"/>
            </w:pPr>
            <w:r>
              <w:t>≤10</w:t>
            </w:r>
          </w:p>
        </w:tc>
      </w:tr>
    </w:tbl>
    <w:p w14:paraId="0D73F9DA">
      <w:pPr>
        <w:pStyle w:val="104"/>
        <w:spacing w:before="312" w:after="312"/>
      </w:pPr>
      <w:bookmarkStart w:id="85" w:name="_Toc161996579"/>
      <w:bookmarkEnd w:id="85"/>
      <w:bookmarkStart w:id="86" w:name="_Toc162950330"/>
      <w:r>
        <w:t>运行管理要求</w:t>
      </w:r>
      <w:bookmarkEnd w:id="86"/>
    </w:p>
    <w:p w14:paraId="7722F803">
      <w:pPr>
        <w:pStyle w:val="105"/>
        <w:spacing w:before="156" w:after="156"/>
      </w:pPr>
      <w:bookmarkStart w:id="87" w:name="_Toc161996580"/>
      <w:bookmarkEnd w:id="87"/>
      <w:bookmarkStart w:id="88" w:name="_Toc162950331"/>
      <w:r>
        <w:t>运行要求</w:t>
      </w:r>
      <w:bookmarkEnd w:id="88"/>
    </w:p>
    <w:p w14:paraId="70AD21C5">
      <w:pPr>
        <w:pStyle w:val="165"/>
      </w:pPr>
      <w:r>
        <w:t>企业应对拆解、利用、污染防治、分析测试、监测监控等设施设备定期进行维护并记录。</w:t>
      </w:r>
    </w:p>
    <w:p w14:paraId="4CFFE2BF">
      <w:pPr>
        <w:pStyle w:val="165"/>
      </w:pPr>
      <w:r>
        <w:t>企业应在厂区出入口配备量程50t 以上且与电脑联网的电子地磅，能够自动记录并打印每批次废物重量，打印记录与相应的转移联单一同保存。贮存库出入口应具有自动打印功能的电子计量设备，计量设备应经检验部门度量衡检定合格。</w:t>
      </w:r>
    </w:p>
    <w:p w14:paraId="0DD78D9F">
      <w:pPr>
        <w:pStyle w:val="165"/>
      </w:pPr>
      <w:r>
        <w:t>企业应在厂区所有进出口处、地磅及磅秤、贮存区域、生产设施、污染防治设施区域设置现场监控设备。录像应采用硬盘方式存储，每路视频图像可全天 24 小时不间断录像，录像保存时间至少为3</w:t>
      </w:r>
      <w:r>
        <w:rPr>
          <w:rFonts w:hint="eastAsia"/>
        </w:rPr>
        <w:t>个月</w:t>
      </w:r>
      <w:r>
        <w:t>。</w:t>
      </w:r>
    </w:p>
    <w:p w14:paraId="12269CFA">
      <w:pPr>
        <w:pStyle w:val="165"/>
      </w:pPr>
      <w:r>
        <w:t>企业应对照危险废物规范化环境管理评估要求，每半年开展 1 次自查。</w:t>
      </w:r>
    </w:p>
    <w:p w14:paraId="54675A6C">
      <w:pPr>
        <w:pStyle w:val="165"/>
      </w:pPr>
      <w:r>
        <w:t>企业的排污许可条件应符合HJ 1034的要求</w:t>
      </w:r>
    </w:p>
    <w:p w14:paraId="498CAF6E">
      <w:pPr>
        <w:pStyle w:val="105"/>
        <w:spacing w:before="156" w:after="156"/>
      </w:pPr>
      <w:bookmarkStart w:id="89" w:name="_Toc161996581"/>
      <w:bookmarkEnd w:id="89"/>
      <w:bookmarkStart w:id="90" w:name="_Toc162950332"/>
      <w:r>
        <w:t>经营情况记录</w:t>
      </w:r>
      <w:bookmarkEnd w:id="90"/>
    </w:p>
    <w:p w14:paraId="5C221674">
      <w:pPr>
        <w:pStyle w:val="165"/>
      </w:pPr>
      <w:r>
        <w:t>企业应建立危险废物经营情况记录簿，如实记载收集、贮存、利用的废电路板类型、来源、去向和有无事故等事项。</w:t>
      </w:r>
    </w:p>
    <w:p w14:paraId="6B18AF6D">
      <w:pPr>
        <w:pStyle w:val="165"/>
      </w:pPr>
      <w:r>
        <w:t>企业应在湖北省固体废物管理信息系统如实填报经营记录，并于每年3 月31 日向省生态环境部门报告上一年度经营情况。</w:t>
      </w:r>
    </w:p>
    <w:p w14:paraId="60CF46D2">
      <w:pPr>
        <w:pStyle w:val="105"/>
        <w:spacing w:before="156" w:after="156"/>
      </w:pPr>
      <w:bookmarkStart w:id="91" w:name="_Toc161996582"/>
      <w:bookmarkEnd w:id="91"/>
      <w:bookmarkStart w:id="92" w:name="_Toc162950333"/>
      <w:r>
        <w:t>监测与信息公开</w:t>
      </w:r>
      <w:bookmarkEnd w:id="92"/>
    </w:p>
    <w:p w14:paraId="4F593C64">
      <w:pPr>
        <w:pStyle w:val="165"/>
      </w:pPr>
      <w:r>
        <w:t>企业制定自行监测方案，对废水、废气、噪声定期开展自行监测，应符合 HJ 1250的要求，并定期向社会公开。采用干法分选的企业，应对废气中粉尘、铜、铅、汞、镉等指标进行定期监测；采用湿法分选的企业，应对废水中SS、COD</w:t>
      </w:r>
      <w:r>
        <w:rPr>
          <w:rFonts w:hint="eastAsia"/>
        </w:rPr>
        <w:t>、</w:t>
      </w:r>
      <w:r>
        <w:t>Cr、氨氮和重金属铜、铅、汞、镉等指标进行定期监测；采用高温热处理和协同处置的企业，应对烟气含氧量、SO</w:t>
      </w:r>
      <w:r>
        <w:rPr>
          <w:vertAlign w:val="subscript"/>
        </w:rPr>
        <w:t>2</w:t>
      </w:r>
      <w:r>
        <w:t>、NO</w:t>
      </w:r>
      <w:r>
        <w:rPr>
          <w:vertAlign w:val="subscript"/>
        </w:rPr>
        <w:t>X</w:t>
      </w:r>
      <w:r>
        <w:t xml:space="preserve"> 等指标进行在线监测，对二</w:t>
      </w:r>
      <w:r>
        <w:rPr>
          <w:rFonts w:hint="eastAsia"/>
        </w:rPr>
        <w:t>噁英类的监测频次不少于每年</w:t>
      </w:r>
      <w:r>
        <w:t>1 次。</w:t>
      </w:r>
    </w:p>
    <w:p w14:paraId="425FFBA8">
      <w:pPr>
        <w:pStyle w:val="165"/>
      </w:pPr>
      <w:r>
        <w:t>企业应定期对场址和设施周边的大气、土壤、地表水和地下水进行采样监测，判定废电路板综合利用过程对周边环境的影响，定期向社会公示，企业污染物监测与排放执行情况材料的保存时间宜不低于10年。</w:t>
      </w:r>
    </w:p>
    <w:p w14:paraId="0115DFE3">
      <w:pPr>
        <w:pStyle w:val="105"/>
        <w:spacing w:before="156" w:after="156"/>
      </w:pPr>
      <w:bookmarkStart w:id="93" w:name="_Toc161996583"/>
      <w:bookmarkEnd w:id="93"/>
      <w:bookmarkStart w:id="94" w:name="_Toc162950334"/>
      <w:r>
        <w:t>应急预案制定及演练</w:t>
      </w:r>
      <w:bookmarkEnd w:id="94"/>
    </w:p>
    <w:p w14:paraId="52523F89">
      <w:pPr>
        <w:pStyle w:val="165"/>
      </w:pPr>
      <w:r>
        <w:t>企业应按照《危险废物经营单位编制应急预案指南》要求制定应急预案并备案。</w:t>
      </w:r>
    </w:p>
    <w:p w14:paraId="4998EE37">
      <w:pPr>
        <w:pStyle w:val="165"/>
      </w:pPr>
      <w:r>
        <w:t>企业应组织人员每年至少开展 1 次应急演练，并记录演练时间、参加人员、演练内容和演练效果等，形成总结报告。</w:t>
      </w:r>
    </w:p>
    <w:p w14:paraId="79174223">
      <w:pPr>
        <w:pStyle w:val="105"/>
        <w:spacing w:before="156" w:after="156"/>
      </w:pPr>
      <w:bookmarkStart w:id="95" w:name="_Toc161996584"/>
      <w:bookmarkEnd w:id="95"/>
      <w:bookmarkStart w:id="96" w:name="_Toc162950335"/>
      <w:r>
        <w:t>人员培训</w:t>
      </w:r>
      <w:bookmarkEnd w:id="96"/>
    </w:p>
    <w:p w14:paraId="0C74CCD3">
      <w:pPr>
        <w:pStyle w:val="165"/>
      </w:pPr>
      <w:r>
        <w:t>企业应按年度制定危险废物管理培训计划。培训计划应明确培训时间、参训人员、培训方式、培训内容、考核方式等。</w:t>
      </w:r>
    </w:p>
    <w:p w14:paraId="600E446E">
      <w:pPr>
        <w:pStyle w:val="165"/>
      </w:pPr>
      <w:r>
        <w:t>企业应按培训计划，每年至少开展 1 次危险废物环境管理培训。应对操作人员、技术人员、分析测试人员及管理人员进行法律法规和专业技术、安全环保、职业卫生、应急处理等理论知识和操作技能培训，并配备必备的安全防护用品。培训宜采用课堂培训和现场培训相结合方式。</w:t>
      </w:r>
    </w:p>
    <w:p w14:paraId="7BFCA432">
      <w:pPr>
        <w:pStyle w:val="165"/>
      </w:pPr>
      <w:r>
        <w:t>培训内容应包括但不限于：</w:t>
      </w:r>
    </w:p>
    <w:p w14:paraId="3A0C2600">
      <w:pPr>
        <w:pStyle w:val="174"/>
      </w:pPr>
      <w:r>
        <w:t>危险废物管理和废电路板综合利用的法律和规章制度；</w:t>
      </w:r>
    </w:p>
    <w:p w14:paraId="0B58A401">
      <w:pPr>
        <w:pStyle w:val="174"/>
      </w:pPr>
      <w:r>
        <w:t>废电路板利用工艺流程和污染物排放标准；</w:t>
      </w:r>
    </w:p>
    <w:p w14:paraId="578C9274">
      <w:pPr>
        <w:pStyle w:val="174"/>
      </w:pPr>
      <w:r>
        <w:t>设施设备使用和运行、设施设备日常和定期维护、运行故障的检查和排除及劳动安全防护措施；</w:t>
      </w:r>
    </w:p>
    <w:p w14:paraId="5CFD47B1">
      <w:pPr>
        <w:pStyle w:val="174"/>
      </w:pPr>
      <w:r>
        <w:t>突发事故或者紧急情况下人工操作和事故处理程序。</w:t>
      </w:r>
    </w:p>
    <w:p w14:paraId="317340BA">
      <w:pPr>
        <w:pStyle w:val="56"/>
        <w:ind w:firstLine="420"/>
      </w:pPr>
      <w:bookmarkStart w:id="97" w:name="_Toc161996585"/>
      <w:bookmarkEnd w:id="97"/>
      <w:r>
        <w:tab/>
      </w:r>
    </w:p>
    <w:p w14:paraId="79ED19E8">
      <w:pPr>
        <w:pStyle w:val="56"/>
        <w:ind w:firstLine="420"/>
      </w:pPr>
      <w:r>
        <w:t xml:space="preserve"> </w:t>
      </w:r>
    </w:p>
    <w:p w14:paraId="4DFF9F5D">
      <w:pPr>
        <w:widowControl/>
        <w:adjustRightInd/>
        <w:spacing w:line="240" w:lineRule="auto"/>
        <w:jc w:val="left"/>
        <w:rPr>
          <w:rFonts w:ascii="宋体" w:hAnsi="Times New Roman"/>
          <w:b/>
          <w:kern w:val="0"/>
          <w:szCs w:val="20"/>
        </w:rPr>
      </w:pPr>
      <w:bookmarkStart w:id="98" w:name="_Toc161996586"/>
      <w:bookmarkEnd w:id="98"/>
      <w:r>
        <w:rPr>
          <w:b/>
        </w:rPr>
        <w:br w:type="page"/>
      </w:r>
    </w:p>
    <w:bookmarkEnd w:id="24"/>
    <w:p w14:paraId="67381EAB">
      <w:pPr>
        <w:pStyle w:val="198"/>
        <w:rPr>
          <w:vanish w:val="0"/>
        </w:rPr>
      </w:pPr>
      <w:bookmarkStart w:id="99" w:name="BookMark5"/>
    </w:p>
    <w:p w14:paraId="0777EB22">
      <w:pPr>
        <w:pStyle w:val="199"/>
        <w:rPr>
          <w:vanish w:val="0"/>
        </w:rPr>
      </w:pPr>
    </w:p>
    <w:p w14:paraId="73BBF043">
      <w:pPr>
        <w:pStyle w:val="76"/>
        <w:spacing w:after="156"/>
      </w:pPr>
      <w:r>
        <w:br w:type="textWrapping"/>
      </w:r>
      <w:bookmarkStart w:id="100" w:name="_Toc162950337"/>
      <w:r>
        <w:rPr>
          <w:rFonts w:hint="eastAsia"/>
        </w:rPr>
        <w:t>（资料性）</w:t>
      </w:r>
      <w:r>
        <w:br w:type="textWrapping"/>
      </w:r>
      <w:r>
        <w:rPr>
          <w:rFonts w:hint="eastAsia"/>
        </w:rPr>
        <w:t>指标计算式</w:t>
      </w:r>
      <w:bookmarkEnd w:id="100"/>
    </w:p>
    <w:p w14:paraId="1449BC06">
      <w:pPr>
        <w:pStyle w:val="56"/>
        <w:ind w:firstLine="420"/>
      </w:pPr>
      <w:r>
        <w:t>热解率</w:t>
      </w:r>
      <w:r>
        <w:rPr>
          <w:rFonts w:hint="eastAsia"/>
        </w:rPr>
        <w:t>和</w:t>
      </w:r>
      <w:r>
        <w:t>脱卤率</w:t>
      </w:r>
      <w:r>
        <w:rPr>
          <w:rFonts w:hint="eastAsia"/>
        </w:rPr>
        <w:t>按以下方式计算:</w:t>
      </w:r>
    </w:p>
    <w:p w14:paraId="16586D97">
      <w:pPr>
        <w:pStyle w:val="56"/>
        <w:ind w:firstLine="420"/>
      </w:pPr>
      <w:r>
        <w:t>（1）热解率</w:t>
      </w:r>
    </w:p>
    <w:p w14:paraId="53CF58D4">
      <w:pPr>
        <w:pStyle w:val="56"/>
        <w:ind w:firstLine="420"/>
      </w:pPr>
      <w:r>
        <w:t>使反应废电路板有机物热解程度的指标，即废电路板低温热解过程损失的质量与热解残渣经破碎后再次热解60 min所累积的两次热解过程损失总质量的比例。</w:t>
      </w:r>
    </w:p>
    <w:p w14:paraId="62E121A5">
      <w:pPr>
        <w:pStyle w:val="56"/>
        <w:ind w:firstLine="420"/>
      </w:pPr>
      <w:r>
        <w:t>热解率按式（1）计算：</w:t>
      </w:r>
    </w:p>
    <w:p w14:paraId="3723AEC0">
      <w:pPr>
        <w:pStyle w:val="56"/>
        <w:ind w:firstLine="420"/>
      </w:pPr>
      <w:r>
        <w:drawing>
          <wp:inline distT="0" distB="0" distL="0" distR="0">
            <wp:extent cx="1472565" cy="391160"/>
            <wp:effectExtent l="0" t="0" r="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72565" cy="391160"/>
                    </a:xfrm>
                    <a:prstGeom prst="rect">
                      <a:avLst/>
                    </a:prstGeom>
                    <a:noFill/>
                    <a:ln>
                      <a:noFill/>
                    </a:ln>
                  </pic:spPr>
                </pic:pic>
              </a:graphicData>
            </a:graphic>
          </wp:inline>
        </w:drawing>
      </w:r>
      <w:r>
        <w:t xml:space="preserve"> </w:t>
      </w:r>
    </w:p>
    <w:p w14:paraId="37EDE9BB">
      <w:pPr>
        <w:pStyle w:val="56"/>
        <w:ind w:firstLine="420"/>
      </w:pPr>
      <w:r>
        <w:t>式中：X——热解率；</w:t>
      </w:r>
    </w:p>
    <w:p w14:paraId="1550EE55">
      <w:pPr>
        <w:pStyle w:val="56"/>
        <w:ind w:firstLine="420"/>
      </w:pPr>
      <w:r>
        <w:drawing>
          <wp:inline distT="0" distB="0" distL="0" distR="0">
            <wp:extent cx="949325" cy="293370"/>
            <wp:effectExtent l="0" t="0" r="317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49325" cy="293370"/>
                    </a:xfrm>
                    <a:prstGeom prst="rect">
                      <a:avLst/>
                    </a:prstGeom>
                    <a:noFill/>
                    <a:ln>
                      <a:noFill/>
                    </a:ln>
                  </pic:spPr>
                </pic:pic>
              </a:graphicData>
            </a:graphic>
          </wp:inline>
        </w:drawing>
      </w:r>
      <w:r>
        <w:t>——废电路板热解前试样的质量（g）；</w:t>
      </w:r>
    </w:p>
    <w:p w14:paraId="7A60816C">
      <w:pPr>
        <w:pStyle w:val="56"/>
        <w:ind w:firstLine="420"/>
      </w:pPr>
      <w:r>
        <w:drawing>
          <wp:inline distT="0" distB="0" distL="0" distR="0">
            <wp:extent cx="998220" cy="2933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998220" cy="293370"/>
                    </a:xfrm>
                    <a:prstGeom prst="rect">
                      <a:avLst/>
                    </a:prstGeom>
                    <a:noFill/>
                    <a:ln>
                      <a:noFill/>
                    </a:ln>
                  </pic:spPr>
                </pic:pic>
              </a:graphicData>
            </a:graphic>
          </wp:inline>
        </w:drawing>
      </w:r>
      <w:r>
        <w:t>——废电路板热解后热解残渣的质量（g）；</w:t>
      </w:r>
    </w:p>
    <w:p w14:paraId="17D85812">
      <w:pPr>
        <w:pStyle w:val="56"/>
        <w:ind w:firstLine="420"/>
      </w:pPr>
      <w:r>
        <w:drawing>
          <wp:inline distT="0" distB="0" distL="0" distR="0">
            <wp:extent cx="998220" cy="29337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998220" cy="293370"/>
                    </a:xfrm>
                    <a:prstGeom prst="rect">
                      <a:avLst/>
                    </a:prstGeom>
                    <a:noFill/>
                    <a:ln>
                      <a:noFill/>
                    </a:ln>
                  </pic:spPr>
                </pic:pic>
              </a:graphicData>
            </a:graphic>
          </wp:inline>
        </w:drawing>
      </w:r>
      <w:r>
        <w:t>——热解残渣经破碎后再次热解60min，所得固体混合物的质量（g）；</w:t>
      </w:r>
    </w:p>
    <w:p w14:paraId="4D2B1501">
      <w:pPr>
        <w:pStyle w:val="56"/>
        <w:ind w:firstLine="420"/>
      </w:pPr>
      <w:r>
        <w:t>（2）脱卤率</w:t>
      </w:r>
    </w:p>
    <w:p w14:paraId="21C11544">
      <w:pPr>
        <w:pStyle w:val="56"/>
        <w:ind w:firstLine="420"/>
      </w:pPr>
      <w:r>
        <w:t>脱卤率按式（2）计算：</w:t>
      </w:r>
    </w:p>
    <w:p w14:paraId="26A9B54E">
      <w:pPr>
        <w:pStyle w:val="56"/>
        <w:ind w:firstLine="420"/>
        <w:rPr>
          <w:iCs/>
        </w:rPr>
      </w:pPr>
      <w:r>
        <w:drawing>
          <wp:inline distT="0" distB="0" distL="0" distR="0">
            <wp:extent cx="1528445" cy="39116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528445" cy="391160"/>
                    </a:xfrm>
                    <a:prstGeom prst="rect">
                      <a:avLst/>
                    </a:prstGeom>
                    <a:noFill/>
                    <a:ln>
                      <a:noFill/>
                    </a:ln>
                  </pic:spPr>
                </pic:pic>
              </a:graphicData>
            </a:graphic>
          </wp:inline>
        </w:drawing>
      </w:r>
      <w:r>
        <w:rPr>
          <w:iCs/>
        </w:rPr>
        <w:t xml:space="preserve"> </w:t>
      </w:r>
    </w:p>
    <w:p w14:paraId="16F0E4F0">
      <w:pPr>
        <w:pStyle w:val="56"/>
        <w:ind w:firstLine="420"/>
      </w:pPr>
      <w:r>
        <w:t>式中：Y——脱卤率</w:t>
      </w:r>
    </w:p>
    <w:p w14:paraId="47BF35F9">
      <w:pPr>
        <w:pStyle w:val="56"/>
        <w:ind w:firstLine="420"/>
      </w:pPr>
      <w:r>
        <w:drawing>
          <wp:inline distT="0" distB="0" distL="0" distR="0">
            <wp:extent cx="1012190" cy="293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012190" cy="293370"/>
                    </a:xfrm>
                    <a:prstGeom prst="rect">
                      <a:avLst/>
                    </a:prstGeom>
                    <a:noFill/>
                    <a:ln>
                      <a:noFill/>
                    </a:ln>
                  </pic:spPr>
                </pic:pic>
              </a:graphicData>
            </a:graphic>
          </wp:inline>
        </w:drawing>
      </w:r>
      <w:r>
        <w:rPr>
          <w:iCs/>
        </w:rPr>
        <w:t>——热解气中原有卤素元素的总质量（g）；</w:t>
      </w:r>
    </w:p>
    <w:p w14:paraId="085C4BEA">
      <w:pPr>
        <w:pStyle w:val="56"/>
        <w:ind w:firstLine="420"/>
      </w:pPr>
      <w:r>
        <w:drawing>
          <wp:inline distT="0" distB="0" distL="0" distR="0">
            <wp:extent cx="1012190" cy="2933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012190" cy="293370"/>
                    </a:xfrm>
                    <a:prstGeom prst="rect">
                      <a:avLst/>
                    </a:prstGeom>
                    <a:noFill/>
                    <a:ln>
                      <a:noFill/>
                    </a:ln>
                  </pic:spPr>
                </pic:pic>
              </a:graphicData>
            </a:graphic>
          </wp:inline>
        </w:drawing>
      </w:r>
      <w:r>
        <w:rPr>
          <w:iCs/>
        </w:rPr>
        <w:t>——热解气经过脱卤净化处理后，剩余卤素元素的质量（g）。</w:t>
      </w:r>
    </w:p>
    <w:bookmarkEnd w:id="99"/>
    <w:p w14:paraId="068E3C7D">
      <w:pPr>
        <w:pStyle w:val="56"/>
        <w:ind w:firstLine="0" w:firstLineChars="0"/>
        <w:jc w:val="center"/>
      </w:pPr>
      <w:bookmarkStart w:id="101" w:name="BookMark8"/>
      <w:r>
        <w:rPr>
          <w:rFonts w:hint="eastAsia"/>
        </w:rPr>
        <w:drawing>
          <wp:inline distT="0" distB="0" distL="0" distR="0">
            <wp:extent cx="1485900" cy="317500"/>
            <wp:effectExtent l="0" t="0" r="0" b="6350"/>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1E37A">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57E2F">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1F269">
    <w:pPr>
      <w:pStyle w:val="52"/>
    </w:pPr>
    <w:r>
      <w:fldChar w:fldCharType="begin"/>
    </w:r>
    <w:r>
      <w:instrText xml:space="preserve">PAGE   \* MERGEFORMAT</w:instrText>
    </w:r>
    <w:r>
      <w:fldChar w:fldCharType="separate"/>
    </w:r>
    <w:r>
      <w:rPr>
        <w:lang w:val="zh-CN"/>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ADE7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BA04A">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F9D1C">
    <w:pPr>
      <w:pStyle w:val="61"/>
    </w:pPr>
    <w:r>
      <w:fldChar w:fldCharType="begin"/>
    </w:r>
    <w:r>
      <w:instrText xml:space="preserve"> STYLEREF  标准文件_文件编号  \* MERGEFORMAT </w:instrText>
    </w:r>
    <w:r>
      <w:fldChar w:fldCharType="separate"/>
    </w:r>
    <w:r>
      <w:t>DB 42/T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A7056">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1985"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dit="forms" w:enforcement="1" w:cryptProviderType="rsaAES" w:cryptAlgorithmClass="hash" w:cryptAlgorithmType="typeAny" w:cryptAlgorithmSid="14" w:cryptSpinCount="100000" w:hash="wexmgbescxNvDcXfdk0mh17OV+YRVkfkOkojI/fxF3/zA8KSH2NLOWu/l2bznwOJMQ/APfLX68rEMtCx3eO/hw==" w:salt="OUk0P6tje+yBRmaHc0qyV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YWYzMzUwNWQzNzVjYTdhODBmM2U5NmRjODIyODMifQ=="/>
  </w:docVars>
  <w:rsids>
    <w:rsidRoot w:val="00E12753"/>
    <w:rsid w:val="0000040A"/>
    <w:rsid w:val="00000A94"/>
    <w:rsid w:val="00001972"/>
    <w:rsid w:val="00001D9A"/>
    <w:rsid w:val="00007B3A"/>
    <w:rsid w:val="000107E0"/>
    <w:rsid w:val="00011FDE"/>
    <w:rsid w:val="00012FFD"/>
    <w:rsid w:val="000140D0"/>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BD3"/>
    <w:rsid w:val="000D4B9C"/>
    <w:rsid w:val="000D4EB6"/>
    <w:rsid w:val="000D753B"/>
    <w:rsid w:val="000E4866"/>
    <w:rsid w:val="000E4C9E"/>
    <w:rsid w:val="000E53ED"/>
    <w:rsid w:val="000E6FD7"/>
    <w:rsid w:val="000F06E1"/>
    <w:rsid w:val="000F0E3C"/>
    <w:rsid w:val="000F19D5"/>
    <w:rsid w:val="000F4AEA"/>
    <w:rsid w:val="000F633F"/>
    <w:rsid w:val="000F67E9"/>
    <w:rsid w:val="00104926"/>
    <w:rsid w:val="001131A3"/>
    <w:rsid w:val="00113B1E"/>
    <w:rsid w:val="0011711C"/>
    <w:rsid w:val="0012059C"/>
    <w:rsid w:val="00124E4F"/>
    <w:rsid w:val="00125F06"/>
    <w:rsid w:val="001260B7"/>
    <w:rsid w:val="001265CB"/>
    <w:rsid w:val="001321C6"/>
    <w:rsid w:val="001325C4"/>
    <w:rsid w:val="00133010"/>
    <w:rsid w:val="001338EE"/>
    <w:rsid w:val="00133AAE"/>
    <w:rsid w:val="00135323"/>
    <w:rsid w:val="001356C4"/>
    <w:rsid w:val="00141114"/>
    <w:rsid w:val="0014277A"/>
    <w:rsid w:val="00142969"/>
    <w:rsid w:val="001446C2"/>
    <w:rsid w:val="001457E7"/>
    <w:rsid w:val="00145D9D"/>
    <w:rsid w:val="00146388"/>
    <w:rsid w:val="00146A24"/>
    <w:rsid w:val="001529E5"/>
    <w:rsid w:val="00153C7E"/>
    <w:rsid w:val="00153D46"/>
    <w:rsid w:val="0015516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053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871"/>
    <w:rsid w:val="003137D7"/>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243"/>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01A"/>
    <w:rsid w:val="003B09AD"/>
    <w:rsid w:val="003B1F18"/>
    <w:rsid w:val="003B5BF0"/>
    <w:rsid w:val="003B60BF"/>
    <w:rsid w:val="003B6BE3"/>
    <w:rsid w:val="003C010C"/>
    <w:rsid w:val="003C0A6C"/>
    <w:rsid w:val="003C14F8"/>
    <w:rsid w:val="003C1F81"/>
    <w:rsid w:val="003C5A43"/>
    <w:rsid w:val="003D0519"/>
    <w:rsid w:val="003D0FF6"/>
    <w:rsid w:val="003D262C"/>
    <w:rsid w:val="003D6D61"/>
    <w:rsid w:val="003D79C6"/>
    <w:rsid w:val="003E091D"/>
    <w:rsid w:val="003E1C53"/>
    <w:rsid w:val="003E2492"/>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525"/>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4641"/>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5EA"/>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97C"/>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5729"/>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01"/>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366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974"/>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FD0"/>
    <w:rsid w:val="008E6A84"/>
    <w:rsid w:val="008F0CDC"/>
    <w:rsid w:val="008F17A3"/>
    <w:rsid w:val="008F1ED3"/>
    <w:rsid w:val="008F23A5"/>
    <w:rsid w:val="008F4C29"/>
    <w:rsid w:val="008F70BD"/>
    <w:rsid w:val="008F788F"/>
    <w:rsid w:val="008F7EA2"/>
    <w:rsid w:val="00902722"/>
    <w:rsid w:val="009027BC"/>
    <w:rsid w:val="009044F9"/>
    <w:rsid w:val="009062E6"/>
    <w:rsid w:val="00911BE5"/>
    <w:rsid w:val="00913CA9"/>
    <w:rsid w:val="009145AE"/>
    <w:rsid w:val="009146CE"/>
    <w:rsid w:val="00914CA7"/>
    <w:rsid w:val="0091598E"/>
    <w:rsid w:val="00915C3E"/>
    <w:rsid w:val="009161A8"/>
    <w:rsid w:val="009245F5"/>
    <w:rsid w:val="009249EC"/>
    <w:rsid w:val="009273B3"/>
    <w:rsid w:val="009305B5"/>
    <w:rsid w:val="009429D5"/>
    <w:rsid w:val="00942BF1"/>
    <w:rsid w:val="00945180"/>
    <w:rsid w:val="00945428"/>
    <w:rsid w:val="0094607B"/>
    <w:rsid w:val="00952A1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806"/>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3FC"/>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7BD"/>
    <w:rsid w:val="00A648CD"/>
    <w:rsid w:val="00A6537A"/>
    <w:rsid w:val="00A67866"/>
    <w:rsid w:val="00A70B07"/>
    <w:rsid w:val="00A723F8"/>
    <w:rsid w:val="00A74636"/>
    <w:rsid w:val="00A76723"/>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039E"/>
    <w:rsid w:val="00B21F61"/>
    <w:rsid w:val="00B22C40"/>
    <w:rsid w:val="00B24E26"/>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2A6"/>
    <w:rsid w:val="00B65149"/>
    <w:rsid w:val="00B66567"/>
    <w:rsid w:val="00B66F52"/>
    <w:rsid w:val="00B66FE5"/>
    <w:rsid w:val="00B72880"/>
    <w:rsid w:val="00B758BF"/>
    <w:rsid w:val="00B76548"/>
    <w:rsid w:val="00B77EC8"/>
    <w:rsid w:val="00B827A6"/>
    <w:rsid w:val="00B831CE"/>
    <w:rsid w:val="00B86677"/>
    <w:rsid w:val="00B87131"/>
    <w:rsid w:val="00B939B1"/>
    <w:rsid w:val="00B96D40"/>
    <w:rsid w:val="00B97386"/>
    <w:rsid w:val="00BA263B"/>
    <w:rsid w:val="00BA2905"/>
    <w:rsid w:val="00BA2C09"/>
    <w:rsid w:val="00BA42B2"/>
    <w:rsid w:val="00BA58D4"/>
    <w:rsid w:val="00BA5B9E"/>
    <w:rsid w:val="00BA7C9A"/>
    <w:rsid w:val="00BB203B"/>
    <w:rsid w:val="00BB32C3"/>
    <w:rsid w:val="00BB3730"/>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26C"/>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95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16B"/>
    <w:rsid w:val="00CD2808"/>
    <w:rsid w:val="00CD28BF"/>
    <w:rsid w:val="00CD4092"/>
    <w:rsid w:val="00CD4A20"/>
    <w:rsid w:val="00CD50A1"/>
    <w:rsid w:val="00CD519E"/>
    <w:rsid w:val="00CD561D"/>
    <w:rsid w:val="00CE0C4F"/>
    <w:rsid w:val="00CE30EA"/>
    <w:rsid w:val="00CE7F81"/>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F74"/>
    <w:rsid w:val="00D4162B"/>
    <w:rsid w:val="00D4268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7C6"/>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FD1"/>
    <w:rsid w:val="00DE6E81"/>
    <w:rsid w:val="00DE703F"/>
    <w:rsid w:val="00DE7595"/>
    <w:rsid w:val="00DF1961"/>
    <w:rsid w:val="00DF3628"/>
    <w:rsid w:val="00DF44DE"/>
    <w:rsid w:val="00DF5F11"/>
    <w:rsid w:val="00E01138"/>
    <w:rsid w:val="00E02DFB"/>
    <w:rsid w:val="00E030F9"/>
    <w:rsid w:val="00E0311A"/>
    <w:rsid w:val="00E03138"/>
    <w:rsid w:val="00E06404"/>
    <w:rsid w:val="00E065D2"/>
    <w:rsid w:val="00E11A85"/>
    <w:rsid w:val="00E12495"/>
    <w:rsid w:val="00E12753"/>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18A"/>
    <w:rsid w:val="00E664CC"/>
    <w:rsid w:val="00E70388"/>
    <w:rsid w:val="00E70F92"/>
    <w:rsid w:val="00E74C54"/>
    <w:rsid w:val="00E77A03"/>
    <w:rsid w:val="00E814B5"/>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AF1"/>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3D96"/>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1792"/>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1B3564"/>
    <w:rsid w:val="0CF1345F"/>
    <w:rsid w:val="379137A3"/>
    <w:rsid w:val="3FDF05B5"/>
    <w:rsid w:val="4AB4263E"/>
    <w:rsid w:val="52EB6EE5"/>
    <w:rsid w:val="6B593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jpeg"/><Relationship Id="rId20" Type="http://schemas.openxmlformats.org/officeDocument/2006/relationships/image" Target="media/image8.jpeg"/><Relationship Id="rId2" Type="http://schemas.openxmlformats.org/officeDocument/2006/relationships/settings" Target="settings.xml"/><Relationship Id="rId19" Type="http://schemas.openxmlformats.org/officeDocument/2006/relationships/image" Target="media/image7.jpeg"/><Relationship Id="rId18" Type="http://schemas.openxmlformats.org/officeDocument/2006/relationships/image" Target="media/image6.jpeg"/><Relationship Id="rId17" Type="http://schemas.openxmlformats.org/officeDocument/2006/relationships/image" Target="media/image5.jpeg"/><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50D3BB4DD294DC980F78E109CFE8779"/>
        <w:style w:val=""/>
        <w:category>
          <w:name w:val="常规"/>
          <w:gallery w:val="placeholder"/>
        </w:category>
        <w:types>
          <w:type w:val="bbPlcHdr"/>
        </w:types>
        <w:behaviors>
          <w:behavior w:val="content"/>
        </w:behaviors>
        <w:description w:val=""/>
        <w:guid w:val="{13B03518-E741-49D8-8450-85417D760EFB}"/>
      </w:docPartPr>
      <w:docPartBody>
        <w:p w14:paraId="6161C18C">
          <w:pPr>
            <w:pStyle w:val="5"/>
          </w:pPr>
          <w:r>
            <w:rPr>
              <w:rStyle w:val="4"/>
              <w:rFonts w:hint="eastAsia"/>
            </w:rPr>
            <w:t>单击或点击此处输入文字。</w:t>
          </w:r>
        </w:p>
      </w:docPartBody>
    </w:docPart>
    <w:docPart>
      <w:docPartPr>
        <w:name w:val="22E270090246411BBA7EE076AA73B41E"/>
        <w:style w:val=""/>
        <w:category>
          <w:name w:val="常规"/>
          <w:gallery w:val="placeholder"/>
        </w:category>
        <w:types>
          <w:type w:val="bbPlcHdr"/>
        </w:types>
        <w:behaviors>
          <w:behavior w:val="content"/>
        </w:behaviors>
        <w:description w:val=""/>
        <w:guid w:val="{DD48D515-2A02-4BC1-B318-445CBF4F053D}"/>
      </w:docPartPr>
      <w:docPartBody>
        <w:p w14:paraId="79CD7237">
          <w:pPr>
            <w:pStyle w:val="6"/>
          </w:pPr>
          <w:r>
            <w:rPr>
              <w:rStyle w:val="4"/>
              <w:rFonts w:hint="eastAsia"/>
            </w:rPr>
            <w:t>选择一项。</w:t>
          </w:r>
        </w:p>
      </w:docPartBody>
    </w:docPart>
    <w:docPart>
      <w:docPartPr>
        <w:name w:val="FBB2DC9D03ED4EFD95775B8CD414BD1B"/>
        <w:style w:val=""/>
        <w:category>
          <w:name w:val="常规"/>
          <w:gallery w:val="placeholder"/>
        </w:category>
        <w:types>
          <w:type w:val="bbPlcHdr"/>
        </w:types>
        <w:behaviors>
          <w:behavior w:val="content"/>
        </w:behaviors>
        <w:description w:val=""/>
        <w:guid w:val="{27C35744-1115-4148-B095-807EC6E29B6F}"/>
      </w:docPartPr>
      <w:docPartBody>
        <w:p w14:paraId="2A6A011C">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7B7"/>
    <w:rsid w:val="00093A0A"/>
    <w:rsid w:val="000B17B7"/>
    <w:rsid w:val="000F4DDA"/>
    <w:rsid w:val="001023F0"/>
    <w:rsid w:val="002C4E23"/>
    <w:rsid w:val="0044455B"/>
    <w:rsid w:val="004F4070"/>
    <w:rsid w:val="00727200"/>
    <w:rsid w:val="007D71D6"/>
    <w:rsid w:val="00BD7D60"/>
    <w:rsid w:val="00EA678E"/>
    <w:rsid w:val="00F61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50D3BB4DD294DC980F78E109CFE877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2E270090246411BBA7EE076AA73B41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BB2DC9D03ED4EFD95775B8CD414BD1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D997F0-F737-4876-829B-2F1E041314F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8394</Words>
  <Characters>9286</Characters>
  <Lines>88</Lines>
  <Paragraphs>24</Paragraphs>
  <TotalTime>2</TotalTime>
  <ScaleCrop>false</ScaleCrop>
  <LinksUpToDate>false</LinksUpToDate>
  <CharactersWithSpaces>9615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2024-04-02T02:01:00Z</dcterms:created>
  <dc:creator>gyb1</dc:creator>
  <dc:description>&lt;config cover="true" show_menu="true" version="1.0.0" doctype="SDKXY"&gt;_x000d_
&lt;/config&gt;</dc:description>
  <cp:lastModifiedBy>金海林</cp:lastModifiedBy>
  <cp:lastPrinted>2020-08-30T10:00:00Z</cp:lastPrinted>
  <dcterms:modified xsi:type="dcterms:W3CDTF">2025-08-29T02:54:27Z</dcterms:modified>
  <dc:title>地方标准</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705553DBA1794116BF6951C1DCEE9598_13</vt:lpwstr>
  </property>
  <property fmtid="{D5CDD505-2E9C-101B-9397-08002B2CF9AE}" pid="16" name="KSOTemplateDocerSaveRecord">
    <vt:lpwstr>eyJoZGlkIjoiNWFlYjc1YTA5ZWE1MDNjZWYyZjgzNTNiYzkyNmJiMmIiLCJ1c2VySWQiOiI0NDYyODA2MzIifQ==</vt:lpwstr>
  </property>
</Properties>
</file>